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spacing w:before="120" w:beforeAutospacing="0" w:after="120" w:afterAutospacing="0" w:line="360" w:lineRule="auto"/>
        <w:rPr>
          <w:color w:val="auto"/>
          <w:highlight w:val="none"/>
        </w:rPr>
      </w:pPr>
      <w:r>
        <w:rPr>
          <w:color w:val="auto"/>
          <w:highlight w:val="none"/>
        </w:rPr>
        <w:t xml:space="preserve">  </w:t>
      </w:r>
      <w:r/>
    </w:p>
    <w:p>
      <w:pPr>
        <w:pStyle w:val="702"/>
        <w:spacing w:before="120" w:beforeAutospacing="0" w:after="120" w:afterAutospacing="0" w:line="360" w:lineRule="auto"/>
        <w:rPr>
          <w:color w:val="auto"/>
          <w:highlight w:val="none"/>
        </w:rPr>
      </w:pPr>
      <w:r>
        <w:rPr>
          <w:color w:val="auto"/>
          <w:highlight w:val="none"/>
        </w:rPr>
      </w:r>
      <w:r/>
    </w:p>
    <w:p>
      <w:pPr>
        <w:pStyle w:val="702"/>
        <w:spacing w:before="120" w:beforeAutospacing="0" w:after="120" w:afterAutospacing="0" w:line="360" w:lineRule="auto"/>
        <w:rPr>
          <w:color w:val="auto"/>
          <w:highlight w:val="none"/>
        </w:rPr>
      </w:pPr>
      <w:r>
        <w:rPr>
          <w:color w:val="auto"/>
          <w:highlight w:val="none"/>
        </w:rPr>
      </w:r>
      <w:r/>
    </w:p>
    <w:p>
      <w:pPr>
        <w:pStyle w:val="70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02"/>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02"/>
        <w:ind w:firstLine="643"/>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东台市实验小学未来实验室建设项目（第三次）</w:t>
      </w:r>
      <w:r/>
    </w:p>
    <w:p>
      <w:pPr>
        <w:pStyle w:val="702"/>
        <w:ind w:firstLine="643"/>
        <w:spacing w:beforeAutospacing="0" w:afterAutospacing="0"/>
        <w:rPr>
          <w:rFonts w:hint="eastAsia"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JSZC-320981-CCGC-G2025-0062</w:t>
      </w:r>
      <w:r/>
    </w:p>
    <w:p>
      <w:pPr>
        <w:pStyle w:val="702"/>
        <w:spacing w:beforeAutospacing="0" w:afterAutospacing="0" w:line="360" w:lineRule="auto"/>
        <w:rPr>
          <w:color w:val="auto"/>
          <w:highlight w:val="none"/>
        </w:rPr>
      </w:pPr>
      <w:r>
        <w:rPr>
          <w:color w:val="auto"/>
          <w:highlight w:val="none"/>
        </w:rPr>
        <w:t xml:space="preserve">  </w:t>
      </w:r>
      <w:r/>
    </w:p>
    <w:p>
      <w:pPr>
        <w:pStyle w:val="702"/>
        <w:spacing w:beforeAutospacing="0" w:afterAutospacing="0" w:line="360" w:lineRule="auto"/>
        <w:rPr>
          <w:color w:val="auto"/>
          <w:highlight w:val="none"/>
        </w:rPr>
      </w:pPr>
      <w:r>
        <w:rPr>
          <w:color w:val="auto"/>
          <w:highlight w:val="none"/>
        </w:rPr>
        <w:t xml:space="preserve"> </w:t>
      </w:r>
      <w:r/>
    </w:p>
    <w:p>
      <w:pPr>
        <w:pStyle w:val="702"/>
        <w:spacing w:beforeAutospacing="0" w:afterAutospacing="0" w:line="360" w:lineRule="auto"/>
        <w:rPr>
          <w:color w:val="auto"/>
          <w:highlight w:val="none"/>
        </w:rPr>
      </w:pPr>
      <w:r>
        <w:rPr>
          <w:color w:val="auto"/>
          <w:highlight w:val="none"/>
        </w:rPr>
        <w:t xml:space="preserve"> </w:t>
      </w:r>
      <w:r/>
    </w:p>
    <w:p>
      <w:pPr>
        <w:pStyle w:val="702"/>
        <w:spacing w:beforeAutospacing="0" w:afterAutospacing="0" w:line="360" w:lineRule="auto"/>
        <w:rPr>
          <w:color w:val="auto"/>
          <w:highlight w:val="none"/>
        </w:rPr>
      </w:pPr>
      <w:r>
        <w:rPr>
          <w:color w:val="auto"/>
          <w:highlight w:val="none"/>
        </w:rPr>
        <w:t xml:space="preserve">  </w:t>
      </w:r>
      <w:r/>
    </w:p>
    <w:p>
      <w:pPr>
        <w:pStyle w:val="702"/>
        <w:spacing w:beforeAutospacing="0" w:afterAutospacing="0" w:line="360" w:lineRule="auto"/>
        <w:rPr>
          <w:color w:val="auto"/>
          <w:highlight w:val="none"/>
        </w:rPr>
      </w:pPr>
      <w:r>
        <w:rPr>
          <w:color w:val="auto"/>
          <w:highlight w:val="none"/>
        </w:rPr>
        <w:t xml:space="preserve"> </w:t>
      </w:r>
      <w:r/>
    </w:p>
    <w:p>
      <w:pPr>
        <w:pStyle w:val="702"/>
        <w:ind w:firstLine="964"/>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702"/>
        <w:spacing w:beforeAutospacing="0" w:afterAutospacing="0" w:line="360" w:lineRule="auto"/>
        <w:rPr>
          <w:color w:val="auto"/>
          <w:highlight w:val="none"/>
        </w:rPr>
      </w:pPr>
      <w:r>
        <w:rPr>
          <w:color w:val="auto"/>
          <w:highlight w:val="none"/>
        </w:rPr>
      </w:r>
      <w:r/>
    </w:p>
    <w:p>
      <w:pPr>
        <w:pStyle w:val="702"/>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东台市实验小学</w:t>
      </w:r>
      <w:r/>
    </w:p>
    <w:p>
      <w:pPr>
        <w:pStyle w:val="702"/>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ascii="Arial" w:hAnsi="Arial" w:eastAsia="宋体" w:cs="Arial"/>
          <w:b/>
          <w:color w:val="auto"/>
          <w:sz w:val="32"/>
          <w:szCs w:val="32"/>
          <w:highlight w:val="none"/>
        </w:rPr>
      </w:r>
      <w:r/>
    </w:p>
    <w:p>
      <w:pPr>
        <w:pStyle w:val="702"/>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 xml:space="preserve">采购代理机构：</w:t>
      </w:r>
      <w:r>
        <w:rPr>
          <w:rFonts w:hint="eastAsia" w:ascii="Arial" w:hAnsi="Arial" w:eastAsia="宋体" w:cs="Arial"/>
          <w:b/>
          <w:color w:val="auto"/>
          <w:sz w:val="32"/>
          <w:szCs w:val="32"/>
          <w:highlight w:val="none"/>
          <w:lang w:eastAsia="zh-CN"/>
        </w:rPr>
        <w:t xml:space="preserve">江苏策诚工程咨询有限公司</w:t>
      </w:r>
      <w:r/>
    </w:p>
    <w:p>
      <w:pPr>
        <w:pStyle w:val="702"/>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02"/>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12</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05</w:t>
      </w:r>
      <w:r>
        <w:rPr>
          <w:rFonts w:ascii="Arial" w:hAnsi="Arial" w:cs="Arial"/>
          <w:b/>
          <w:color w:val="auto"/>
          <w:sz w:val="32"/>
          <w:szCs w:val="32"/>
          <w:highlight w:val="none"/>
        </w:rPr>
        <w:t xml:space="preserve">日</w:t>
      </w:r>
      <w:r/>
    </w:p>
    <w:p>
      <w:pPr>
        <w:pStyle w:val="702"/>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02"/>
        <w:jc w:val="center"/>
        <w:spacing w:before="120" w:beforeAutospacing="0" w:after="120" w:afterAutospacing="0" w:line="360" w:lineRule="auto"/>
        <w:rPr>
          <w:color w:val="auto"/>
          <w:highlight w:val="none"/>
        </w:rPr>
      </w:pPr>
      <w:r>
        <w:rPr>
          <w:color w:val="auto"/>
          <w:highlight w:val="none"/>
        </w:rPr>
        <w:t xml:space="preserve"> </w:t>
      </w:r>
      <w:r/>
    </w:p>
    <w:p>
      <w:pPr>
        <w:pStyle w:val="702"/>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479757206"/>
      <w:r/>
      <w:bookmarkStart w:id="1" w:name="_Toc20823272"/>
      <w:r/>
      <w:bookmarkStart w:id="2" w:name="_Toc16938516"/>
      <w:r/>
      <w:bookmarkStart w:id="3" w:name="_Toc523127445"/>
      <w:r/>
      <w:bookmarkStart w:id="4" w:name="_Toc120614210"/>
      <w:r/>
      <w:bookmarkStart w:id="5" w:name="_Toc51302920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02"/>
        <w:jc w:val="both"/>
        <w:spacing w:beforeAutospacing="0" w:afterAutospacing="0" w:line="480" w:lineRule="auto"/>
        <w:rPr>
          <w:color w:val="auto"/>
          <w:highlight w:val="none"/>
        </w:rPr>
      </w:pPr>
      <w:r>
        <w:rPr>
          <w:color w:val="auto"/>
          <w:highlight w:val="none"/>
        </w:rPr>
        <w:t xml:space="preserve"> </w:t>
      </w:r>
      <w:r/>
    </w:p>
    <w:p>
      <w:pPr>
        <w:pStyle w:val="70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70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70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p>
    <w:p>
      <w:pPr>
        <w:pStyle w:val="70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70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70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702"/>
        <w:jc w:val="both"/>
        <w:spacing w:beforeAutospacing="0" w:afterAutospacing="0"/>
        <w:rPr>
          <w:color w:val="auto"/>
          <w:highlight w:val="none"/>
        </w:rPr>
      </w:pPr>
      <w:r>
        <w:rPr>
          <w:color w:val="auto"/>
          <w:highlight w:val="none"/>
        </w:rPr>
        <w:t xml:space="preserve"> </w:t>
      </w:r>
      <w:r/>
    </w:p>
    <w:p>
      <w:pPr>
        <w:pStyle w:val="702"/>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bookmarkStart w:id="6" w:name="_Toc28359086"/>
      <w:r>
        <w:rPr>
          <w:rFonts w:hint="eastAsia" w:ascii="黑体" w:hAnsi="宋体" w:eastAsia="黑体" w:cs="黑体"/>
          <w:color w:val="auto"/>
          <w:sz w:val="44"/>
          <w:szCs w:val="44"/>
          <w:highlight w:val="none"/>
        </w:rPr>
        <w:br w:type="page" w:clear="all"/>
      </w:r>
      <w:r/>
    </w:p>
    <w:p>
      <w:pPr>
        <w:pStyle w:val="702"/>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02"/>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02"/>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东台市实验小学未来实验室建设项目（第三次）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JSZC-320981-CCGC-G2025-0062</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，并于2025-</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702"/>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7" w:name="_Toc28359002"/>
      <w:r/>
      <w:bookmarkStart w:id="8" w:name="_Hlk24379207"/>
      <w:r/>
      <w:bookmarkStart w:id="9" w:name="_Toc35393790"/>
      <w:r/>
      <w:bookmarkStart w:id="10" w:name="_Toc35393621"/>
      <w:r/>
      <w:bookmarkStart w:id="11" w:name="_Toc38985263"/>
      <w:r/>
      <w:bookmarkStart w:id="12" w:name="_Toc28359079"/>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02"/>
        <w:ind w:firstLine="480"/>
        <w:jc w:val="both"/>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项目编号：</w:t>
      </w:r>
      <w:r>
        <w:rPr>
          <w:rFonts w:hint="eastAsia" w:ascii="宋体" w:hAnsi="宋体" w:eastAsia="宋体" w:cs="宋体"/>
          <w:color w:val="auto"/>
          <w:sz w:val="24"/>
          <w:szCs w:val="24"/>
          <w:highlight w:val="none"/>
          <w:u w:val="none"/>
          <w:lang w:eastAsia="zh-CN"/>
        </w:rPr>
        <w:t xml:space="preserve">JSZC-320981-CCGC-G2025-0062</w:t>
      </w:r>
      <w:r/>
    </w:p>
    <w:p>
      <w:pPr>
        <w:pStyle w:val="702"/>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东台市实验小学未来实验室建设项目（第三次）</w:t>
      </w:r>
      <w:r/>
    </w:p>
    <w:p>
      <w:pPr>
        <w:pStyle w:val="70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0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160.000000万元</w:t>
      </w:r>
      <w:r/>
    </w:p>
    <w:p>
      <w:pPr>
        <w:pStyle w:val="702"/>
        <w:ind w:firstLine="480"/>
        <w:jc w:val="both"/>
        <w:pageBreakBefore w:val="0"/>
        <w:spacing w:beforeAutospacing="0" w:afterAutospacing="0" w:line="360" w:lineRule="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158</w:t>
      </w:r>
      <w:r>
        <w:rPr>
          <w:rFonts w:hint="eastAsia" w:ascii="宋体" w:hAnsi="宋体" w:eastAsia="宋体" w:cs="宋体"/>
          <w:color w:val="auto"/>
          <w:sz w:val="24"/>
          <w:szCs w:val="24"/>
          <w:highlight w:val="none"/>
          <w:lang w:val="en-US" w:eastAsia="zh-CN"/>
        </w:rPr>
        <w:t xml:space="preserve">万元</w:t>
      </w:r>
      <w:r/>
    </w:p>
    <w:p>
      <w:pPr>
        <w:pStyle w:val="702"/>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采购需求（简介）：</w:t>
      </w:r>
      <w:r/>
    </w:p>
    <w:p>
      <w:pPr>
        <w:pStyle w:val="70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东台市实验小学未来实验室建设项目（第三次），拟建设未来实验室2间,并按招标文件要求提供相关服务，确保满足招标文件的要求和招标人的实际使用需求。</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702"/>
        <w:ind w:firstLine="480"/>
        <w:jc w:val="both"/>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合同签订后30日历天内货物全部送达招标人指定位置且安装、调试完毕，并确保正常稳定运行。</w:t>
      </w:r>
      <w:r/>
    </w:p>
    <w:p>
      <w:pPr>
        <w:ind w:firstLine="480"/>
        <w:pageBreakBefore w:val="0"/>
        <w:spacing w:line="360" w:lineRule="auto"/>
        <w:rPr>
          <w:rFonts w:hint="eastAsia" w:ascii="宋体" w:hAnsi="宋体" w:eastAsia="宋体" w:cs="宋体"/>
          <w:color w:val="auto"/>
          <w:sz w:val="24"/>
          <w:highlight w:val="none"/>
          <w:u w:val="none"/>
          <w:lang w:eastAsia="zh-CN"/>
        </w:rPr>
      </w:pPr>
      <w:r/>
      <w:bookmarkStart w:id="13" w:name="_Toc38985264"/>
      <w:r/>
      <w:bookmarkStart w:id="14" w:name="_Toc28359080"/>
      <w:r/>
      <w:bookmarkStart w:id="15" w:name="_Toc35393622"/>
      <w:r/>
      <w:bookmarkStart w:id="16" w:name="_Toc35393791"/>
      <w:r/>
      <w:bookmarkStart w:id="17" w:name="_Toc28359003"/>
      <w:r>
        <w:rPr>
          <w:rFonts w:hint="eastAsia" w:ascii="宋体" w:hAnsi="宋体" w:eastAsia="宋体" w:cs="宋体"/>
          <w:color w:val="auto"/>
          <w:sz w:val="24"/>
          <w:highlight w:val="none"/>
          <w:u w:val="none"/>
          <w:lang w:eastAsia="zh-CN"/>
        </w:rPr>
        <w:t xml:space="preserve">本项目（是/否）接受联合体投标：否</w:t>
      </w:r>
      <w:r/>
    </w:p>
    <w:p>
      <w:pPr>
        <w:pStyle w:val="702"/>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上一年度的财务状况报表（成立不满一年无需提供）；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6.投标人法定代表人身份证明和投标文件签署授权委托书（另附法定代表人和被授权人的身份证复印件或扫描件）；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7.投标人为被授权人缴纳的社会养老保险证明（如有）；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10.单位负责人为同一人或者存在直接控股、管理关系的不同供应商，不得参加同一合同项下的政府采购活动（自行承诺，格式自理）。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b w:val="0"/>
          <w:bCs w:val="0"/>
          <w:i w:val="0"/>
          <w:iCs w:val="0"/>
          <w:color w:val="auto"/>
          <w:sz w:val="24"/>
          <w:highlight w:val="none"/>
          <w:u w:val="none"/>
        </w:rPr>
      </w:pPr>
      <w:r>
        <w:rPr>
          <w:rFonts w:hint="eastAsia" w:ascii="宋体" w:hAnsi="宋体" w:eastAsia="宋体" w:cs="宋体"/>
          <w:b w:val="0"/>
          <w:bCs w:val="0"/>
          <w:i w:val="0"/>
          <w:iCs w:val="0"/>
          <w:color w:val="auto"/>
          <w:sz w:val="24"/>
          <w:highlight w:val="none"/>
          <w:u w:val="none"/>
        </w:rPr>
        <w:t xml:space="preserve">本项目为专门面向中小企业采购的采购项目，</w:t>
      </w:r>
      <w:r>
        <w:rPr>
          <w:rFonts w:hint="eastAsia" w:ascii="宋体" w:hAnsi="宋体" w:eastAsia="宋体" w:cs="宋体"/>
          <w:b w:val="0"/>
          <w:bCs w:val="0"/>
          <w:i w:val="0"/>
          <w:iCs w:val="0"/>
          <w:color w:val="auto"/>
          <w:sz w:val="24"/>
          <w:highlight w:val="none"/>
          <w:u w:val="none"/>
          <w:lang w:val="en-US" w:eastAsia="zh-CN"/>
        </w:rPr>
        <w:t xml:space="preserve">投标人投标</w:t>
      </w:r>
      <w:r>
        <w:rPr>
          <w:rFonts w:hint="eastAsia" w:ascii="宋体" w:hAnsi="宋体" w:eastAsia="宋体" w:cs="宋体"/>
          <w:b w:val="0"/>
          <w:bCs w:val="0"/>
          <w:i w:val="0"/>
          <w:iCs w:val="0"/>
          <w:color w:val="auto"/>
          <w:sz w:val="24"/>
          <w:highlight w:val="none"/>
          <w:u w:val="none"/>
        </w:rPr>
        <w:t xml:space="preserve">文件中须提供《中小企业声明函》，《中小企业声明函》不符合要求或未提供的，</w:t>
      </w:r>
      <w:r>
        <w:rPr>
          <w:rFonts w:hint="eastAsia" w:ascii="宋体" w:hAnsi="宋体" w:eastAsia="宋体" w:cs="宋体"/>
          <w:b w:val="0"/>
          <w:bCs w:val="0"/>
          <w:i w:val="0"/>
          <w:iCs w:val="0"/>
          <w:color w:val="auto"/>
          <w:sz w:val="24"/>
          <w:highlight w:val="none"/>
          <w:u w:val="none"/>
          <w:lang w:val="en-US" w:eastAsia="zh-CN"/>
        </w:rPr>
        <w:t xml:space="preserve">投标</w:t>
      </w:r>
      <w:r>
        <w:rPr>
          <w:rFonts w:hint="eastAsia" w:ascii="宋体" w:hAnsi="宋体" w:eastAsia="宋体" w:cs="宋体"/>
          <w:b w:val="0"/>
          <w:bCs w:val="0"/>
          <w:i w:val="0"/>
          <w:iCs w:val="0"/>
          <w:color w:val="auto"/>
          <w:sz w:val="24"/>
          <w:highlight w:val="none"/>
          <w:u w:val="none"/>
        </w:rPr>
        <w:t xml:space="preserve">文件无效。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无</w:t>
      </w:r>
      <w:r/>
    </w:p>
    <w:p>
      <w:pPr>
        <w:pStyle w:val="702"/>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28359082"/>
      <w:r/>
      <w:bookmarkStart w:id="20" w:name="_Toc38985266"/>
      <w:r/>
      <w:bookmarkStart w:id="21" w:name="_Toc35393793"/>
      <w:r/>
      <w:bookmarkStart w:id="22" w:name="_Toc35393624"/>
      <w:r>
        <w:rPr>
          <w:rFonts w:hint="eastAsia" w:ascii="宋体" w:hAnsi="宋体" w:eastAsia="宋体" w:cs="宋体"/>
          <w:color w:val="auto"/>
          <w:sz w:val="24"/>
          <w:szCs w:val="24"/>
          <w:highlight w:val="none"/>
          <w:shd w:val="clear" w:color="auto" w:fill="auto"/>
        </w:rPr>
        <w:t xml:space="preserve">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地点：“苏采云”系统内免费下载（投标人必须在苏采云系统中获取采购文件，方能参与政府采购项目）；</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方式：本项目采用网上注册登记方式</w:t>
      </w:r>
      <w:r/>
    </w:p>
    <w:p>
      <w:pPr>
        <w:ind w:firstLine="480"/>
        <w:jc w:val="left"/>
        <w:pageBreakBefore w:val="0"/>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售价：</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szCs w:val="24"/>
          <w:highlight w:val="none"/>
          <w:shd w:val="clear" w:color="auto" w:fill="auto"/>
          <w:lang w:val="en-US" w:eastAsia="zh-CN"/>
        </w:rPr>
        <w:t xml:space="preserve">元</w:t>
      </w:r>
      <w:r/>
    </w:p>
    <w:p>
      <w:pPr>
        <w:pStyle w:val="702"/>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02"/>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2025-</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shd w:val="clear" w:color="auto" w:fill="auto"/>
        </w:rPr>
        <w:t xml:space="preserve">（北京时间）</w:t>
      </w:r>
      <w:r/>
    </w:p>
    <w:p>
      <w:pPr>
        <w:pStyle w:val="702"/>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地点：苏采云“不见面”开标大厅</w:t>
      </w:r>
      <w:r/>
    </w:p>
    <w:p>
      <w:pPr>
        <w:pStyle w:val="702"/>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23" w:name="_Toc28359007"/>
      <w:r/>
      <w:bookmarkStart w:id="24" w:name="_Toc28359084"/>
      <w:r/>
      <w:bookmarkStart w:id="25" w:name="_Toc35393625"/>
      <w:r/>
      <w:bookmarkStart w:id="26" w:name="_Toc38985267"/>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02"/>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.本项目（是/否）接受银行、保险、石油石化、电力、电信等行业的分支机构参与：</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.供应商成交后打印纸质响应文件（正本壹份、副本</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份），在领取成交通知书前与用普通光盘或U盘拷贝的电子响应文件一并送至采购人。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、对本次</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提出询问，请按以下方式联系。</w:t>
      </w:r>
      <w:bookmarkEnd w:id="31"/>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东台市实验小学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szCs w:val="24"/>
          <w:highlight w:val="none"/>
          <w:lang w:val="en-US" w:eastAsia="zh-CN"/>
        </w:rPr>
        <w:t xml:space="preserve">东台市红兰南路111号</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color w:val="auto"/>
          <w:sz w:val="24"/>
          <w:szCs w:val="24"/>
          <w:highlight w:val="none"/>
          <w:lang w:val="en-US" w:eastAsia="zh-CN"/>
        </w:rPr>
        <w:t xml:space="preserve">王先生</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18796592966</w:t>
      </w:r>
      <w:r/>
    </w:p>
    <w:p>
      <w:pPr>
        <w:pStyle w:val="70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江苏策诚工程咨询有限公司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lang w:eastAsia="zh-CN"/>
        </w:rPr>
        <w:t xml:space="preserve">东台市唯诚大厦20层</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张先生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17851635261</w:t>
      </w: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rPr>
        <w:t xml:space="preserve">先生</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17851635261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clear="all"/>
      </w:r>
      <w:bookmarkStart w:id="32" w:name="_Toc120614211"/>
      <w:r/>
      <w:r/>
    </w:p>
    <w:p>
      <w:pPr>
        <w:pStyle w:val="702"/>
        <w:jc w:val="center"/>
        <w:keepLines/>
        <w:keepNext/>
        <w:pageBreakBefore w:val="0"/>
        <w:spacing w:beforeAutospacing="0" w:afterAutospacing="0" w:line="360" w:lineRule="auto"/>
        <w:widowControl w:val="off"/>
        <w:rPr>
          <w:color w:val="auto"/>
          <w:highlight w:val="none"/>
        </w:rPr>
      </w:pPr>
      <w:r>
        <w:rPr>
          <w:rFonts w:hint="eastAsia" w:ascii="黑体" w:hAnsi="宋体" w:eastAsia="黑体" w:cs="黑体"/>
          <w:b/>
          <w:color w:val="auto"/>
          <w:sz w:val="44"/>
          <w:szCs w:val="44"/>
          <w:highlight w:val="none"/>
        </w:rPr>
        <w:t xml:space="preserve">第二章  </w:t>
      </w:r>
      <w:bookmarkEnd w:id="32"/>
      <w:r/>
      <w:bookmarkStart w:id="33" w:name="_Toc16938518"/>
      <w:r/>
      <w:bookmarkStart w:id="34" w:name="_Toc20823274"/>
      <w:r/>
      <w:bookmarkStart w:id="35" w:name="_Toc513029202"/>
      <w:r/>
      <w:bookmarkStart w:id="36" w:name="_Toc120614213"/>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7" w:name="_Toc513029203"/>
      <w:r/>
      <w:bookmarkStart w:id="38" w:name="_Toc20823275"/>
      <w:r/>
      <w:bookmarkStart w:id="39" w:name="_Toc16938519"/>
      <w:r/>
      <w:bookmarkStart w:id="40" w:name="_Toc120614214"/>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1" w:name="_Toc20823276"/>
      <w:r/>
      <w:bookmarkStart w:id="42" w:name="_Toc16938520"/>
      <w:r/>
      <w:bookmarkStart w:id="43" w:name="_Toc513029204"/>
      <w:r/>
      <w:bookmarkStart w:id="44" w:name="_Toc458694821"/>
      <w:r/>
      <w:bookmarkStart w:id="45" w:name="_Hlt16619475"/>
      <w:r>
        <w:rPr>
          <w:rFonts w:hint="eastAsia" w:ascii="宋体" w:hAnsi="宋体" w:eastAsia="宋体" w:cs="宋体"/>
          <w:b/>
          <w:bCs/>
          <w:color w:val="auto"/>
          <w:sz w:val="24"/>
          <w:szCs w:val="24"/>
          <w:highlight w:val="none"/>
        </w:rPr>
        <w:t xml:space="preserve">1</w:t>
      </w:r>
      <w:bookmarkEnd w:id="41"/>
      <w:r>
        <w:rPr>
          <w:rFonts w:hint="eastAsia" w:ascii="宋体" w:hAnsi="宋体" w:eastAsia="宋体" w:cs="宋体"/>
          <w:b/>
          <w:bCs/>
          <w:color w:val="auto"/>
          <w:sz w:val="24"/>
          <w:szCs w:val="24"/>
          <w:highlight w:val="none"/>
        </w:rPr>
        <w:t xml:space="preserve">、招标方式</w:t>
      </w:r>
      <w:bookmarkEnd w:id="42"/>
      <w:r/>
      <w:bookmarkEnd w:id="43"/>
      <w:r/>
      <w:bookmarkEnd w:id="44"/>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6" w:name="_Toc513029205"/>
      <w:r/>
      <w:bookmarkStart w:id="47" w:name="_Toc16938521"/>
      <w:r/>
      <w:bookmarkStart w:id="48" w:name="_Toc20823277"/>
      <w:r>
        <w:rPr>
          <w:rFonts w:hint="eastAsia" w:ascii="宋体" w:hAnsi="宋体" w:eastAsia="宋体" w:cs="宋体"/>
          <w:b/>
          <w:bCs/>
          <w:color w:val="auto"/>
          <w:sz w:val="24"/>
          <w:szCs w:val="24"/>
          <w:highlight w:val="none"/>
        </w:rPr>
        <w:t xml:space="preserve">2、合格的投标人</w:t>
      </w:r>
      <w:bookmarkEnd w:id="46"/>
      <w:r/>
      <w:bookmarkEnd w:id="47"/>
      <w:r/>
      <w:bookmarkEnd w:id="48"/>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9" w:name="_Toc513029206"/>
      <w:r/>
      <w:bookmarkStart w:id="50" w:name="_Toc16938522"/>
      <w:r/>
      <w:bookmarkStart w:id="51" w:name="_Toc20823278"/>
      <w:r>
        <w:rPr>
          <w:rFonts w:hint="eastAsia" w:ascii="宋体" w:hAnsi="宋体" w:eastAsia="宋体" w:cs="宋体"/>
          <w:b/>
          <w:bCs/>
          <w:color w:val="auto"/>
          <w:sz w:val="24"/>
          <w:szCs w:val="24"/>
          <w:highlight w:val="none"/>
        </w:rPr>
        <w:t xml:space="preserve">3、适用法律</w:t>
      </w:r>
      <w:bookmarkEnd w:id="49"/>
      <w:r/>
      <w:bookmarkEnd w:id="50"/>
      <w:r/>
      <w:bookmarkEnd w:id="51"/>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52" w:name="_Toc16938523"/>
      <w:r/>
      <w:bookmarkStart w:id="53" w:name="_Toc513029207"/>
      <w:r/>
      <w:bookmarkStart w:id="54" w:name="_Toc20823279"/>
      <w:r/>
      <w:bookmarkStart w:id="55" w:name="_Toc462564067"/>
      <w:r>
        <w:rPr>
          <w:rFonts w:hint="eastAsia" w:ascii="宋体" w:hAnsi="宋体" w:eastAsia="宋体" w:cs="宋体"/>
          <w:b/>
          <w:bCs/>
          <w:color w:val="auto"/>
          <w:sz w:val="24"/>
          <w:szCs w:val="24"/>
          <w:highlight w:val="none"/>
        </w:rPr>
        <w:t xml:space="preserve">4、投标费用</w:t>
      </w:r>
      <w:bookmarkEnd w:id="52"/>
      <w:r/>
      <w:bookmarkEnd w:id="53"/>
      <w:r/>
      <w:bookmarkEnd w:id="54"/>
      <w:r/>
      <w:bookmarkEnd w:id="55"/>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投标人应自行承担所有与参加投标有关的费用，无论投标过程中的做法和结果如何，采购人在任何情况下均无义务和责任承担这些费用。</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5、招标文件的约束力</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6" w:name="_Toc16938525"/>
      <w:r/>
      <w:bookmarkStart w:id="57" w:name="_Toc120614215"/>
      <w:r/>
      <w:bookmarkStart w:id="58" w:name="_Toc513029209"/>
      <w:r/>
      <w:bookmarkStart w:id="59" w:name="_Toc20823281"/>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0" w:name="_Toc20823282"/>
      <w:r/>
      <w:bookmarkStart w:id="61" w:name="_Toc513029210"/>
      <w:r/>
      <w:bookmarkStart w:id="62" w:name="_Toc16938526"/>
      <w:r>
        <w:rPr>
          <w:rFonts w:hint="eastAsia" w:ascii="宋体" w:hAnsi="宋体" w:eastAsia="宋体" w:cs="宋体"/>
          <w:b/>
          <w:bCs/>
          <w:color w:val="auto"/>
          <w:sz w:val="24"/>
          <w:szCs w:val="24"/>
          <w:highlight w:val="none"/>
        </w:rPr>
        <w:t xml:space="preserve">6、招标文件构成</w:t>
      </w:r>
      <w:bookmarkEnd w:id="60"/>
      <w:r/>
      <w:bookmarkEnd w:id="61"/>
      <w:r/>
      <w:bookmarkEnd w:id="62"/>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3" w:name="_Toc462564070"/>
      <w:r/>
      <w:bookmarkStart w:id="64" w:name="_Toc513029211"/>
      <w:r/>
      <w:bookmarkStart w:id="65" w:name="_Toc20823283"/>
      <w:r/>
      <w:bookmarkStart w:id="66" w:name="_Toc16938527"/>
      <w:r>
        <w:rPr>
          <w:rFonts w:hint="eastAsia" w:ascii="宋体" w:hAnsi="宋体" w:eastAsia="宋体" w:cs="宋体"/>
          <w:b/>
          <w:bCs/>
          <w:color w:val="auto"/>
          <w:sz w:val="24"/>
          <w:szCs w:val="24"/>
          <w:highlight w:val="none"/>
        </w:rPr>
        <w:t xml:space="preserve">7、招标文件的澄清</w:t>
      </w:r>
      <w:bookmarkEnd w:id="63"/>
      <w:r/>
      <w:bookmarkEnd w:id="64"/>
      <w:r/>
      <w:bookmarkEnd w:id="65"/>
      <w:r/>
      <w:bookmarkEnd w:id="66"/>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7" w:name="_Toc462564071"/>
      <w:r/>
      <w:bookmarkStart w:id="68" w:name="_Toc513029212"/>
      <w:r/>
      <w:bookmarkStart w:id="69" w:name="_Toc16938528"/>
      <w:r/>
      <w:bookmarkStart w:id="70" w:name="_Toc20823284"/>
      <w:r>
        <w:rPr>
          <w:rFonts w:hint="eastAsia" w:ascii="宋体" w:hAnsi="宋体" w:eastAsia="宋体" w:cs="宋体"/>
          <w:b/>
          <w:bCs/>
          <w:color w:val="auto"/>
          <w:sz w:val="24"/>
          <w:szCs w:val="24"/>
          <w:highlight w:val="none"/>
        </w:rPr>
        <w:t xml:space="preserve">8、招标文件的修改</w:t>
      </w:r>
      <w:bookmarkEnd w:id="67"/>
      <w:r/>
      <w:bookmarkEnd w:id="68"/>
      <w:r/>
      <w:bookmarkEnd w:id="69"/>
      <w:r/>
      <w:bookmarkEnd w:id="70"/>
      <w:r/>
      <w:r/>
    </w:p>
    <w:p>
      <w:pPr>
        <w:ind w:firstLine="480"/>
        <w:jc w:val="left"/>
        <w:spacing w:line="360" w:lineRule="auto"/>
        <w:rPr>
          <w:rFonts w:ascii="宋体" w:hAnsi="宋体" w:eastAsia="宋体" w:cs="宋体"/>
          <w:color w:val="auto"/>
          <w:sz w:val="24"/>
          <w:highlight w:val="none"/>
        </w:rPr>
      </w:pPr>
      <w:r/>
      <w:bookmarkStart w:id="71" w:name="_Toc120614216"/>
      <w:r/>
      <w:bookmarkStart w:id="72" w:name="_Toc16938529"/>
      <w:r/>
      <w:bookmarkStart w:id="73" w:name="_Toc20823285"/>
      <w:r/>
      <w:bookmarkStart w:id="74" w:name="_Toc462564072"/>
      <w:r/>
      <w:bookmarkStart w:id="75" w:name="_Toc513029213"/>
      <w:r>
        <w:rPr>
          <w:rFonts w:hint="eastAsia" w:ascii="宋体" w:hAnsi="宋体" w:eastAsia="宋体" w:cs="宋体"/>
          <w:color w:val="auto"/>
          <w:sz w:val="24"/>
          <w:highlight w:val="none"/>
        </w:rPr>
        <w:t xml:space="preserve">8.1在投标截止时间前，</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lang w:val="en-US" w:eastAsia="zh-CN"/>
        </w:rPr>
        <w:t xml:space="preserve">或委托的代理机构</w:t>
      </w:r>
      <w:r>
        <w:rPr>
          <w:rFonts w:hint="eastAsia" w:ascii="宋体" w:hAnsi="宋体" w:eastAsia="宋体" w:cs="宋体"/>
          <w:color w:val="auto"/>
          <w:sz w:val="24"/>
          <w:highlight w:val="none"/>
        </w:rPr>
        <w:t xml:space="preserve">可以对招标文件进行修改。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lang w:val="en-US" w:eastAsia="zh-CN"/>
        </w:rPr>
        <w:t xml:space="preserve">或委托的代理机构</w:t>
      </w:r>
      <w:r>
        <w:rPr>
          <w:rFonts w:hint="eastAsia" w:ascii="宋体" w:hAnsi="宋体" w:eastAsia="宋体" w:cs="宋体"/>
          <w:color w:val="auto"/>
          <w:sz w:val="24"/>
          <w:highlight w:val="none"/>
        </w:rPr>
        <w:t xml:space="preserve">有权按照法定的要求推迟投标截止日期和开标日期。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8.3招标文件的修改将在“中国政府采购网、江苏政府采购网、盐城市政府采购网”公布，补充文件将作为招标文件的组成部分，并对投标人具有约束力。</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76" w:name="_Toc462564073"/>
      <w:r/>
      <w:bookmarkStart w:id="77" w:name="_Toc20823286"/>
      <w:r/>
      <w:bookmarkStart w:id="78" w:name="_Toc513029214"/>
      <w:r/>
      <w:bookmarkStart w:id="79" w:name="_Toc16938530"/>
      <w:r>
        <w:rPr>
          <w:rFonts w:hint="eastAsia" w:ascii="宋体" w:hAnsi="宋体" w:eastAsia="宋体" w:cs="宋体"/>
          <w:b/>
          <w:bCs/>
          <w:color w:val="auto"/>
          <w:sz w:val="24"/>
          <w:szCs w:val="24"/>
          <w:highlight w:val="none"/>
        </w:rPr>
        <w:t xml:space="preserve">9、投标文件的语言及度量衡单位</w:t>
      </w:r>
      <w:bookmarkEnd w:id="76"/>
      <w:r/>
      <w:bookmarkEnd w:id="77"/>
      <w:r/>
      <w:bookmarkEnd w:id="78"/>
      <w:r/>
      <w:bookmarkEnd w:id="79"/>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80" w:name="_Toc20823287"/>
      <w:r/>
      <w:bookmarkStart w:id="81" w:name="_Toc513029215"/>
      <w:r/>
      <w:bookmarkStart w:id="82" w:name="_Toc16938531"/>
      <w:r/>
      <w:bookmarkStart w:id="83" w:name="_Toc462564074"/>
      <w:r>
        <w:rPr>
          <w:rFonts w:hint="eastAsia" w:ascii="宋体" w:hAnsi="宋体" w:eastAsia="宋体" w:cs="宋体"/>
          <w:b/>
          <w:bCs/>
          <w:color w:val="auto"/>
          <w:sz w:val="24"/>
          <w:szCs w:val="24"/>
          <w:highlight w:val="none"/>
        </w:rPr>
        <w:t xml:space="preserve">10、投标文件构成</w:t>
      </w:r>
      <w:bookmarkEnd w:id="80"/>
      <w:r/>
      <w:bookmarkEnd w:id="81"/>
      <w:r/>
      <w:bookmarkEnd w:id="82"/>
      <w:r/>
      <w:bookmarkEnd w:id="83"/>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84" w:name="_Toc14577357"/>
      <w:r/>
      <w:bookmarkStart w:id="85" w:name="_Toc49090507"/>
      <w:r/>
      <w:bookmarkStart w:id="86" w:name="_Toc513029219"/>
      <w:r/>
      <w:bookmarkStart w:id="87" w:name="_Toc49090508"/>
      <w:r/>
      <w:bookmarkStart w:id="88" w:name="_Toc14577355"/>
      <w:r/>
      <w:bookmarkStart w:id="89" w:name="_Toc49090509"/>
      <w:r/>
      <w:bookmarkStart w:id="90" w:name="_Toc513029216"/>
      <w:r/>
      <w:bookmarkStart w:id="91" w:name="_Toc14577354"/>
      <w:r/>
      <w:bookmarkStart w:id="92" w:name="_Hlt26668975"/>
      <w:r/>
      <w:bookmarkStart w:id="93" w:name="_Hlt26670360"/>
      <w:r/>
      <w:bookmarkStart w:id="94" w:name="_Hlt26954838"/>
      <w:r>
        <w:rPr>
          <w:rFonts w:hint="eastAsia" w:ascii="宋体" w:hAnsi="宋体" w:eastAsia="宋体" w:cs="宋体"/>
          <w:b/>
          <w:bCs/>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95" w:name="_Hlt26954731"/>
      <w:r/>
      <w:bookmarkStart w:id="96" w:name="_Hlt26954846"/>
      <w:r/>
      <w:bookmarkStart w:id="97" w:name="_Hlt26954848"/>
      <w:r/>
      <w:bookmarkStart w:id="98" w:name="_Hlt26670482"/>
      <w:r/>
      <w:bookmarkStart w:id="99" w:name="_Hlt26670486"/>
      <w:r>
        <w:rPr>
          <w:rFonts w:hint="eastAsia" w:ascii="宋体" w:hAnsi="宋体" w:eastAsia="宋体" w:cs="宋体"/>
          <w:b/>
          <w:bCs/>
          <w:color w:val="auto"/>
          <w:sz w:val="24"/>
          <w:szCs w:val="24"/>
          <w:highlight w:val="none"/>
        </w:rPr>
        <w:t xml:space="preserve">13、技术要求响应及偏离表、商务要求响应及偏离表</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投标人需对招标文件中的技术要求与商务要求逐项作出响应或偏离，并说明原因。</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14、服务承诺、培训计划、人员安排及其他</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702"/>
        <w:ind w:left="0"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投标人需根据招标文件要求提供所投标的的主要组成部分、功能设计、实现思路及关键技术等。</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00" w:name="_Toc14577359"/>
      <w:r/>
      <w:bookmarkStart w:id="101" w:name="_Toc49090510"/>
      <w:r>
        <w:rPr>
          <w:rFonts w:hint="eastAsia" w:ascii="宋体" w:hAnsi="宋体" w:eastAsia="宋体" w:cs="宋体"/>
          <w:b/>
          <w:bCs/>
          <w:color w:val="auto"/>
          <w:sz w:val="24"/>
          <w:szCs w:val="24"/>
          <w:highlight w:val="none"/>
        </w:rPr>
        <w:t xml:space="preserve">15、投标函和开标一览表</w:t>
      </w:r>
      <w:bookmarkEnd w:id="100"/>
      <w:r/>
      <w:bookmarkEnd w:id="101"/>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02" w:name="_Toc49090511"/>
      <w:r/>
      <w:bookmarkStart w:id="103" w:name="_Toc14577360"/>
      <w:r>
        <w:rPr>
          <w:rFonts w:hint="eastAsia" w:ascii="宋体" w:hAnsi="宋体" w:eastAsia="宋体" w:cs="宋体"/>
          <w:b/>
          <w:bCs/>
          <w:color w:val="auto"/>
          <w:sz w:val="24"/>
          <w:szCs w:val="24"/>
          <w:highlight w:val="none"/>
        </w:rPr>
        <w:t xml:space="preserve">16、投标有效期</w:t>
      </w:r>
      <w:bookmarkEnd w:id="102"/>
      <w:r/>
      <w:bookmarkEnd w:id="103"/>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17、投标有效期的延长</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4" w:name="_Toc20823296"/>
      <w:r/>
      <w:bookmarkStart w:id="105" w:name="_Toc513029224"/>
      <w:r/>
      <w:bookmarkStart w:id="106" w:name="_Toc16938540"/>
      <w:r/>
      <w:bookmarkStart w:id="107" w:name="_Toc120614217"/>
      <w:r/>
      <w:bookmarkStart w:id="108" w:name="_Hlt26954852"/>
      <w:r/>
      <w:bookmarkStart w:id="109" w:name="_Hlt26954739"/>
      <w:r>
        <w:rPr>
          <w:rFonts w:hint="eastAsia" w:ascii="宋体" w:hAnsi="宋体" w:eastAsia="宋体" w:cs="宋体"/>
          <w:color w:val="auto"/>
          <w:sz w:val="24"/>
          <w:szCs w:val="24"/>
          <w:highlight w:val="none"/>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四、投标文件的递交</w:t>
      </w:r>
      <w:bookmarkEnd w:id="104"/>
      <w:r/>
      <w:bookmarkEnd w:id="105"/>
      <w:r/>
      <w:bookmarkEnd w:id="106"/>
      <w:r/>
      <w:bookmarkEnd w:id="107"/>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10" w:name="_Toc16938541"/>
      <w:r/>
      <w:bookmarkStart w:id="111" w:name="_Toc513029225"/>
      <w:r/>
      <w:bookmarkStart w:id="112" w:name="_Toc20823297"/>
      <w:r/>
      <w:bookmarkStart w:id="113" w:name="_Toc462564084"/>
      <w:r>
        <w:rPr>
          <w:rFonts w:hint="eastAsia" w:ascii="宋体" w:hAnsi="宋体" w:eastAsia="宋体" w:cs="宋体"/>
          <w:b/>
          <w:bCs/>
          <w:color w:val="auto"/>
          <w:sz w:val="24"/>
          <w:szCs w:val="24"/>
          <w:highlight w:val="none"/>
        </w:rPr>
        <w:t xml:space="preserve">18、电子投标文件</w:t>
      </w:r>
      <w:bookmarkEnd w:id="110"/>
      <w:r/>
      <w:bookmarkEnd w:id="111"/>
      <w:r/>
      <w:bookmarkEnd w:id="112"/>
      <w:r/>
      <w:bookmarkEnd w:id="113"/>
      <w:r>
        <w:rPr>
          <w:rFonts w:hint="eastAsia" w:ascii="宋体" w:hAnsi="宋体" w:eastAsia="宋体" w:cs="宋体"/>
          <w:b/>
          <w:bCs/>
          <w:color w:val="auto"/>
          <w:sz w:val="24"/>
          <w:szCs w:val="24"/>
          <w:highlight w:val="none"/>
        </w:rPr>
        <w:t xml:space="preserve">的递交</w:t>
      </w:r>
      <w:r/>
    </w:p>
    <w:p>
      <w:pPr>
        <w:pStyle w:val="70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4" w:name="_Toc16938542"/>
      <w:r/>
      <w:bookmarkEnd w:id="114"/>
      <w:r/>
      <w:bookmarkStart w:id="115" w:name="_Toc20823298"/>
      <w:r/>
      <w:bookmarkEnd w:id="115"/>
      <w:r/>
      <w:bookmarkStart w:id="116" w:name="_Toc513029226"/>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19、投标截止日期</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cs="宋体"/>
          <w:color w:val="auto"/>
          <w:sz w:val="24"/>
          <w:highlight w:val="none"/>
        </w:rPr>
      </w:pPr>
      <w:r/>
      <w:bookmarkStart w:id="117" w:name="_Toc20823299"/>
      <w:r/>
      <w:bookmarkStart w:id="118" w:name="_Toc513029227"/>
      <w:r/>
      <w:bookmarkStart w:id="119" w:name="_Toc16938543"/>
      <w:r>
        <w:rPr>
          <w:rFonts w:hint="eastAsia" w:ascii="宋体" w:hAnsi="宋体" w:cs="宋体"/>
          <w:color w:val="auto"/>
          <w:sz w:val="24"/>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20、投标文件</w:t>
      </w:r>
      <w:bookmarkEnd w:id="117"/>
      <w:r/>
      <w:bookmarkEnd w:id="118"/>
      <w:r/>
      <w:bookmarkEnd w:id="119"/>
      <w:r>
        <w:rPr>
          <w:rFonts w:hint="eastAsia" w:ascii="宋体" w:hAnsi="宋体" w:eastAsia="宋体" w:cs="宋体"/>
          <w:b/>
          <w:bCs/>
          <w:color w:val="auto"/>
          <w:sz w:val="24"/>
          <w:szCs w:val="24"/>
          <w:highlight w:val="none"/>
        </w:rPr>
        <w:t xml:space="preserve">的拒收</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20" w:name="_Toc16938544"/>
      <w:r/>
      <w:bookmarkStart w:id="121" w:name="_Toc513029228"/>
      <w:r/>
      <w:bookmarkStart w:id="122" w:name="_Toc20823300"/>
      <w:r>
        <w:rPr>
          <w:rFonts w:hint="eastAsia" w:ascii="宋体" w:hAnsi="宋体" w:eastAsia="宋体" w:cs="宋体"/>
          <w:b/>
          <w:bCs/>
          <w:color w:val="auto"/>
          <w:sz w:val="24"/>
          <w:szCs w:val="24"/>
          <w:highlight w:val="none"/>
        </w:rPr>
        <w:t xml:space="preserve">21、投标文件的撤回和修改</w:t>
      </w:r>
      <w:bookmarkEnd w:id="120"/>
      <w:r/>
      <w:bookmarkEnd w:id="121"/>
      <w:r/>
      <w:bookmarkEnd w:id="122"/>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3" w:name="_Toc20823301"/>
      <w:r/>
      <w:bookmarkStart w:id="124" w:name="_Toc513029229"/>
      <w:r/>
      <w:bookmarkStart w:id="125" w:name="_Toc16938545"/>
      <w:r/>
      <w:bookmarkStart w:id="126" w:name="_Toc120614218"/>
      <w:r>
        <w:rPr>
          <w:rFonts w:hint="eastAsia" w:ascii="宋体" w:hAnsi="宋体" w:eastAsia="宋体" w:cs="宋体"/>
          <w:b/>
          <w:color w:val="auto"/>
          <w:sz w:val="24"/>
          <w:szCs w:val="24"/>
          <w:highlight w:val="none"/>
        </w:rPr>
        <w:t xml:space="preserve">五、开标与评标</w:t>
      </w:r>
      <w:bookmarkEnd w:id="123"/>
      <w:r/>
      <w:bookmarkEnd w:id="124"/>
      <w:r/>
      <w:bookmarkEnd w:id="125"/>
      <w:r/>
      <w:bookmarkEnd w:id="126"/>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27" w:name="_Toc513029230"/>
      <w:r/>
      <w:bookmarkStart w:id="128" w:name="_Toc16938546"/>
      <w:r/>
      <w:bookmarkStart w:id="129" w:name="_Toc20823302"/>
      <w:r>
        <w:rPr>
          <w:rFonts w:hint="eastAsia" w:ascii="宋体" w:hAnsi="宋体" w:eastAsia="宋体" w:cs="宋体"/>
          <w:b/>
          <w:bCs/>
          <w:color w:val="auto"/>
          <w:sz w:val="24"/>
          <w:szCs w:val="24"/>
          <w:highlight w:val="none"/>
        </w:rPr>
        <w:t xml:space="preserve">22、开标</w:t>
      </w:r>
      <w:bookmarkEnd w:id="127"/>
      <w:r/>
      <w:bookmarkEnd w:id="128"/>
      <w:r/>
      <w:bookmarkEnd w:id="129"/>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0" w:name="_Toc20823303"/>
      <w:r/>
      <w:bookmarkStart w:id="131" w:name="_Toc16938547"/>
      <w:r/>
      <w:bookmarkStart w:id="132" w:name="_Toc513029231"/>
      <w:r>
        <w:rPr>
          <w:rFonts w:hint="eastAsia" w:ascii="宋体" w:hAnsi="宋体" w:eastAsia="宋体" w:cs="宋体"/>
          <w:b/>
          <w:bCs/>
          <w:color w:val="auto"/>
          <w:sz w:val="24"/>
          <w:szCs w:val="24"/>
          <w:highlight w:val="none"/>
        </w:rPr>
        <w:t xml:space="preserve">23、评标委员会</w:t>
      </w:r>
      <w:bookmarkEnd w:id="130"/>
      <w:r/>
      <w:bookmarkEnd w:id="131"/>
      <w:r/>
      <w:bookmarkEnd w:id="132"/>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24．评标过程的保密与公正</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委托的代理机构</w:t>
      </w:r>
      <w:r>
        <w:rPr>
          <w:rFonts w:hint="eastAsia" w:ascii="宋体" w:hAnsi="宋体" w:eastAsia="宋体" w:cs="宋体"/>
          <w:color w:val="auto"/>
          <w:sz w:val="24"/>
          <w:szCs w:val="24"/>
          <w:highlight w:val="none"/>
        </w:rPr>
        <w:t xml:space="preserve">均不得向投标人或与评标无关的其他人员透露。</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3" w:name="_Toc20823304"/>
      <w:r/>
      <w:bookmarkStart w:id="134" w:name="_Toc513029232"/>
      <w:r/>
      <w:bookmarkStart w:id="135" w:name="_Toc16938548"/>
      <w:r>
        <w:rPr>
          <w:rFonts w:hint="eastAsia" w:ascii="宋体" w:hAnsi="宋体" w:eastAsia="宋体" w:cs="宋体"/>
          <w:b/>
          <w:bCs/>
          <w:color w:val="auto"/>
          <w:sz w:val="24"/>
          <w:szCs w:val="24"/>
          <w:highlight w:val="none"/>
        </w:rPr>
        <w:t xml:space="preserve">25．投标文件的澄清</w:t>
      </w:r>
      <w:bookmarkEnd w:id="133"/>
      <w:r/>
      <w:bookmarkEnd w:id="134"/>
      <w:r/>
      <w:bookmarkEnd w:id="135"/>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6" w:name="_Toc513029233"/>
      <w:r/>
      <w:bookmarkStart w:id="137" w:name="_Toc16938549"/>
      <w:r/>
      <w:bookmarkStart w:id="138" w:name="_Toc20823305"/>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bookmarkEnd w:id="136"/>
      <w:r/>
      <w:bookmarkEnd w:id="137"/>
      <w:r/>
      <w:bookmarkEnd w:id="138"/>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26、对投标文件的初审</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投标文件初审分为资格审查和符合性审查。</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9" w:name="_Toc513029234"/>
      <w:r/>
      <w:bookmarkStart w:id="140" w:name="_Toc20823306"/>
      <w:r/>
      <w:bookmarkStart w:id="141"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27、无效投标条款和废标条款</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2" w:name="_Toc16938551"/>
      <w:r/>
      <w:bookmarkStart w:id="143" w:name="_Toc20823307"/>
      <w:r/>
      <w:bookmarkStart w:id="144" w:name="_Toc513029235"/>
      <w:r>
        <w:rPr>
          <w:rFonts w:hint="eastAsia" w:ascii="宋体" w:hAnsi="宋体" w:eastAsia="宋体" w:cs="宋体"/>
          <w:color w:val="auto"/>
          <w:sz w:val="24"/>
          <w:szCs w:val="24"/>
          <w:highlight w:val="none"/>
        </w:rPr>
        <w:t xml:space="preserve">27.1无效投标条款</w:t>
      </w:r>
      <w:bookmarkEnd w:id="142"/>
      <w:r/>
      <w:bookmarkEnd w:id="143"/>
      <w:r/>
      <w:bookmarkEnd w:id="144"/>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 投标文件含有采购人不能接受的附加条件的。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w:t>
      </w:r>
      <w:r>
        <w:rPr>
          <w:rFonts w:hint="eastAsia" w:ascii="宋体" w:hAnsi="宋体" w:eastAsia="宋体" w:cs="宋体"/>
          <w:color w:val="auto"/>
          <w:sz w:val="24"/>
          <w:szCs w:val="24"/>
          <w:highlight w:val="none"/>
        </w:rPr>
        <w:t xml:space="preserve">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 投标人IP地址、MAC地址、标书编制工具客户端标识码信息一致（以苏彩云系统显示为准）。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其他法律、法规及本招标文件规定的属无效投标的情形。</w:t>
      </w:r>
      <w:r/>
    </w:p>
    <w:p>
      <w:pPr>
        <w:pStyle w:val="702"/>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27.2废标条款</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120614219"/>
      <w:r>
        <w:rPr>
          <w:rFonts w:hint="eastAsia" w:ascii="宋体" w:hAnsi="宋体" w:eastAsia="宋体" w:cs="宋体"/>
          <w:b/>
          <w:color w:val="auto"/>
          <w:sz w:val="24"/>
          <w:szCs w:val="24"/>
          <w:highlight w:val="none"/>
        </w:rPr>
        <w:t xml:space="preserve">六、定标</w:t>
      </w:r>
      <w:bookmarkEnd w:id="145"/>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6" w:name="_Toc20823310"/>
      <w:r/>
      <w:bookmarkStart w:id="147" w:name="_Toc513029238"/>
      <w:r/>
      <w:bookmarkStart w:id="148" w:name="_Toc16938554"/>
      <w:r>
        <w:rPr>
          <w:rFonts w:hint="eastAsia" w:ascii="宋体" w:hAnsi="宋体" w:eastAsia="宋体" w:cs="宋体"/>
          <w:b/>
          <w:bCs/>
          <w:color w:val="auto"/>
          <w:sz w:val="24"/>
          <w:szCs w:val="24"/>
          <w:highlight w:val="none"/>
        </w:rPr>
        <w:t xml:space="preserve">28、</w:t>
      </w:r>
      <w:bookmarkEnd w:id="146"/>
      <w:r>
        <w:rPr>
          <w:rFonts w:hint="eastAsia" w:ascii="宋体" w:hAnsi="宋体" w:eastAsia="宋体" w:cs="宋体"/>
          <w:b/>
          <w:bCs/>
          <w:color w:val="auto"/>
          <w:sz w:val="24"/>
          <w:szCs w:val="24"/>
          <w:highlight w:val="none"/>
        </w:rPr>
        <w:t xml:space="preserve">确定</w:t>
      </w:r>
      <w:bookmarkEnd w:id="147"/>
      <w:r/>
      <w:bookmarkEnd w:id="148"/>
      <w:r>
        <w:rPr>
          <w:rFonts w:hint="eastAsia" w:ascii="宋体" w:hAnsi="宋体" w:eastAsia="宋体" w:cs="宋体"/>
          <w:b/>
          <w:bCs/>
          <w:color w:val="auto"/>
          <w:sz w:val="24"/>
          <w:szCs w:val="24"/>
          <w:highlight w:val="none"/>
        </w:rPr>
        <w:t xml:space="preserve">中标单位</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行贿或者提供其他不正当利益的。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200451960"/>
      <w:r>
        <w:rPr>
          <w:rFonts w:hint="eastAsia" w:ascii="宋体" w:hAnsi="宋体" w:eastAsia="宋体" w:cs="宋体"/>
          <w:color w:val="auto"/>
          <w:sz w:val="24"/>
          <w:szCs w:val="24"/>
          <w:highlight w:val="none"/>
        </w:rPr>
        <w:t xml:space="preserve">28.5.有下列情形之一的，视为投标人串通投标，投标无效：</w:t>
      </w:r>
      <w:bookmarkEnd w:id="149"/>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29、质疑处理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或采购人提出质疑。</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上述应知其权益受到损害之日，是指：</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、采购人将只对供应商第一次质疑作出答复。</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不接受未填写快递运单的快件。</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质疑受理部门：</w:t>
      </w:r>
      <w:r>
        <w:rPr>
          <w:rFonts w:hint="eastAsia" w:ascii="宋体" w:hAnsi="宋体" w:eastAsia="宋体" w:cs="宋体"/>
          <w:color w:val="auto"/>
          <w:sz w:val="24"/>
          <w:szCs w:val="24"/>
          <w:highlight w:val="none"/>
          <w:lang w:eastAsia="zh-CN"/>
        </w:rPr>
        <w:t xml:space="preserve">东台市实验小学</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东台市红兰南路111号</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18796592966</w:t>
      </w:r>
      <w:r>
        <w:rPr>
          <w:rFonts w:hint="eastAsia" w:ascii="宋体" w:hAnsi="宋体" w:eastAsia="宋体" w:cs="宋体"/>
          <w:color w:val="auto"/>
          <w:sz w:val="24"/>
          <w:szCs w:val="24"/>
          <w:highlight w:val="none"/>
        </w:rPr>
        <w:t xml:space="preserve">   </w:t>
      </w:r>
      <w:r/>
    </w:p>
    <w:p>
      <w:pPr>
        <w:pStyle w:val="702"/>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29.5 以下情形的质疑不予受理</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30、中标通知书</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513029236"/>
      <w:r/>
      <w:bookmarkStart w:id="151" w:name="_Toc16938552"/>
      <w:r/>
      <w:bookmarkStart w:id="152" w:name="_Toc120614220"/>
      <w:r/>
      <w:bookmarkStart w:id="153" w:name="_Toc20823308"/>
      <w:r>
        <w:rPr>
          <w:rFonts w:hint="eastAsia" w:ascii="宋体" w:hAnsi="宋体" w:eastAsia="宋体" w:cs="宋体"/>
          <w:b/>
          <w:color w:val="auto"/>
          <w:sz w:val="24"/>
          <w:szCs w:val="24"/>
          <w:highlight w:val="none"/>
        </w:rPr>
        <w:t xml:space="preserve">七、授予合同</w:t>
      </w:r>
      <w:bookmarkEnd w:id="150"/>
      <w:r/>
      <w:bookmarkEnd w:id="151"/>
      <w:r/>
      <w:bookmarkEnd w:id="152"/>
      <w:r/>
      <w:bookmarkEnd w:id="153"/>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54" w:name="_Toc513029237"/>
      <w:r/>
      <w:bookmarkStart w:id="155" w:name="_Toc20823309"/>
      <w:r/>
      <w:bookmarkStart w:id="156" w:name="_Toc16938553"/>
      <w:r>
        <w:rPr>
          <w:rFonts w:hint="eastAsia" w:ascii="宋体" w:hAnsi="宋体" w:eastAsia="宋体" w:cs="宋体"/>
          <w:b/>
          <w:bCs/>
          <w:color w:val="auto"/>
          <w:sz w:val="24"/>
          <w:szCs w:val="24"/>
          <w:highlight w:val="none"/>
        </w:rPr>
        <w:t xml:space="preserve">31. 签订合同</w:t>
      </w:r>
      <w:bookmarkEnd w:id="154"/>
      <w:r/>
      <w:bookmarkEnd w:id="155"/>
      <w:r/>
      <w:bookmarkEnd w:id="156"/>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702"/>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32、货物（包含与货物相关的服务）的追加</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2"/>
        <w:numPr>
          <w:ilvl w:val="0"/>
          <w:numId w:val="0"/>
        </w:numPr>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33.政府采购政策功能落实</w:t>
      </w:r>
      <w:r/>
    </w:p>
    <w:p>
      <w:pPr>
        <w:pStyle w:val="70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360" w:lineRule="auto"/>
        <w:widowControl w:val="off"/>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33.2进口产品</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360" w:lineRule="auto"/>
        <w:widowControl w:val="off"/>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33.3中小企业、监狱企业及残疾人福利性单位</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0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w:t>
      </w:r>
      <w:bookmarkStart w:id="199" w:name="_GoBack"/>
      <w:r/>
      <w:bookmarkEnd w:id="199"/>
      <w:r>
        <w:rPr>
          <w:rFonts w:hint="eastAsia" w:ascii="宋体" w:hAnsi="宋体" w:eastAsia="宋体" w:cs="宋体"/>
          <w:color w:val="auto"/>
          <w:sz w:val="24"/>
          <w:szCs w:val="24"/>
          <w:highlight w:val="none"/>
        </w:rPr>
        <w:t xml:space="preserve">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62"/>
        <w:ind w:left="0" w:firstLine="48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jc w:val="center"/>
        <w:spacing w:line="360" w:lineRule="auto"/>
        <w:widowControl/>
        <w:rPr>
          <w:color w:val="auto"/>
          <w:sz w:val="36"/>
          <w:szCs w:val="44"/>
          <w:highlight w:val="none"/>
        </w:rPr>
      </w:pPr>
      <w:r>
        <w:rPr>
          <w:rFonts w:hint="eastAsia" w:ascii="宋体" w:hAnsi="宋体" w:eastAsia="宋体" w:cs="宋体"/>
          <w:color w:val="auto"/>
          <w:sz w:val="24"/>
          <w:szCs w:val="24"/>
          <w:highlight w:val="none"/>
          <w:lang w:val="en-US" w:eastAsia="zh-CN" w:bidi="ar-SA"/>
        </w:rPr>
        <w:t xml:space="preserve">本项目落实预付款制度，</w:t>
      </w:r>
      <w:r>
        <w:rPr>
          <w:rFonts w:hint="eastAsia" w:ascii="宋体" w:hAnsi="宋体" w:eastAsia="宋体" w:cs="宋体"/>
          <w:color w:val="auto"/>
          <w:sz w:val="24"/>
          <w:highlight w:val="none"/>
        </w:rPr>
        <w:t xml:space="preserve">预付款比例为</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bookmarkStart w:id="157" w:name="_Toc479757211"/>
      <w:r/>
      <w:bookmarkStart w:id="158" w:name="_Toc120614244"/>
      <w:r/>
      <w:bookmarkStart w:id="159" w:name="_Toc462564139"/>
      <w:r/>
      <w:bookmarkStart w:id="160" w:name="_Toc16938590"/>
      <w:r/>
      <w:bookmarkStart w:id="161" w:name="_Hlt16619350"/>
      <w:r/>
      <w:bookmarkStart w:id="162" w:name="_Toc20823346"/>
      <w:r/>
      <w:bookmarkStart w:id="163"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4" w:name="EB6d2006462e294de090c16e672cecc3bd"/>
      <w:r/>
      <w:bookmarkEnd w:id="164"/>
      <w:r/>
      <w:r/>
    </w:p>
    <w:p>
      <w:pPr>
        <w:jc w:val="center"/>
        <w:rPr>
          <w:rFonts w:ascii="宋体" w:hAnsi="宋体" w:cs="宋体"/>
          <w:color w:val="auto"/>
          <w:sz w:val="30"/>
          <w:highlight w:val="none"/>
        </w:rPr>
      </w:pPr>
      <w:r/>
      <w:bookmarkStart w:id="165" w:name="_Toc3995"/>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firstLine="600"/>
        <w:spacing w:line="360" w:lineRule="auto"/>
        <w:rPr>
          <w:rFonts w:hint="eastAsia" w:ascii="宋体" w:hAnsi="宋体" w:cs="宋体" w:eastAsiaTheme="minorEastAsia"/>
          <w:color w:val="auto"/>
          <w:sz w:val="30"/>
          <w:highlight w:val="none"/>
          <w:lang w:eastAsia="zh-CN"/>
        </w:rPr>
      </w:pPr>
      <w:r>
        <w:rPr>
          <w:rFonts w:hint="eastAsia" w:ascii="宋体" w:hAnsi="宋体" w:cs="宋体"/>
          <w:color w:val="auto"/>
          <w:sz w:val="30"/>
          <w:highlight w:val="none"/>
        </w:rPr>
        <w:t xml:space="preserve">项目名称：</w:t>
      </w:r>
      <w:r>
        <w:rPr>
          <w:rFonts w:hint="eastAsia" w:ascii="宋体" w:hAnsi="宋体" w:cs="宋体"/>
          <w:color w:val="auto"/>
          <w:sz w:val="30"/>
          <w:highlight w:val="none"/>
          <w:lang w:eastAsia="zh-CN"/>
        </w:rPr>
        <w:t xml:space="preserve">东台市实验小学未来实验室建设项目（第三次）</w:t>
      </w:r>
      <w:r/>
    </w:p>
    <w:p>
      <w:pPr>
        <w:ind w:left="420" w:firstLine="600"/>
        <w:spacing w:line="360" w:lineRule="auto"/>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 xml:space="preserve">合同编号：</w:t>
      </w:r>
      <w:r>
        <w:rPr>
          <w:rFonts w:hint="eastAsia" w:ascii="Times New Roman" w:hAnsi="Times New Roman"/>
          <w:b/>
          <w:color w:val="auto"/>
          <w:sz w:val="32"/>
          <w:szCs w:val="32"/>
          <w:highlight w:val="none"/>
          <w:lang w:eastAsia="zh-CN"/>
        </w:rPr>
        <w:t xml:space="preserve">JSZC-320981-CCGC-G2025-0062</w:t>
      </w:r>
      <w:r>
        <w:rPr>
          <w:rFonts w:hint="eastAsia" w:ascii="Times New Roman" w:hAnsi="Times New Roman"/>
          <w:b/>
          <w:color w:val="auto"/>
          <w:sz w:val="32"/>
          <w:szCs w:val="32"/>
          <w:highlight w:val="none"/>
          <w:lang w:val="en-US" w:eastAsia="zh-CN"/>
        </w:rPr>
        <w:t xml:space="preserve">001</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rPr>
          <w:rFonts w:hint="eastAsia" w:ascii="宋体" w:hAnsi="宋体" w:cs="宋体"/>
          <w:color w:val="auto"/>
          <w:sz w:val="30"/>
          <w:highlight w:val="none"/>
          <w:lang w:val="en-US" w:eastAsia="zh-CN"/>
        </w:rPr>
        <w:t xml:space="preserve">东台市实验小学</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65"/>
      <w:r/>
    </w:p>
    <w:p>
      <w:pPr>
        <w:ind w:firstLine="880"/>
        <w:rPr>
          <w:rFonts w:eastAsia="黑体"/>
          <w:color w:val="auto"/>
          <w:sz w:val="44"/>
          <w:szCs w:val="4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eastAsia="黑体"/>
          <w:color w:val="auto"/>
          <w:sz w:val="44"/>
          <w:szCs w:val="44"/>
          <w:highlight w:val="none"/>
        </w:rPr>
      </w:r>
      <w:r/>
    </w:p>
    <w:p>
      <w:pPr>
        <w:jc w:val="center"/>
        <w:keepLines/>
        <w:keepNext/>
        <w:spacing w:line="400" w:lineRule="exact"/>
        <w:rPr>
          <w:rFonts w:ascii="黑体" w:hAnsi="黑体" w:eastAsia="黑体"/>
          <w:b/>
          <w:bCs/>
          <w:color w:val="auto"/>
          <w:sz w:val="28"/>
          <w:szCs w:val="28"/>
          <w:highlight w:val="none"/>
        </w:rPr>
        <w:outlineLvl w:val="1"/>
      </w:pPr>
      <w:r/>
      <w:bookmarkStart w:id="166" w:name="_Toc22209"/>
      <w:r/>
      <w:r/>
    </w:p>
    <w:p>
      <w:pPr>
        <w:jc w:val="center"/>
        <w:keepLines/>
        <w:keepNext/>
        <w:spacing w:line="400" w:lineRule="exact"/>
        <w:rPr>
          <w:rFonts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6"/>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 xml:space="preserve">甲方（全称）：</w:t>
      </w:r>
      <w:r>
        <w:rPr>
          <w:rFonts w:hint="eastAsia" w:ascii="宋体" w:hAnsi="宋体"/>
          <w:color w:val="auto"/>
          <w:sz w:val="24"/>
          <w:highlight w:val="none"/>
          <w:lang w:val="en-US" w:eastAsia="zh-CN"/>
        </w:rPr>
        <w:t xml:space="preserve">东台市实验小学</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ind w:left="0" w:firstLine="480"/>
        <w:keepLines w:val="0"/>
        <w:keepNext w:val="0"/>
        <w:pageBreakBefore w:val="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采购项目名称：</w:t>
      </w:r>
      <w:r>
        <w:rPr>
          <w:rFonts w:hint="eastAsia" w:ascii="宋体" w:hAnsi="宋体"/>
          <w:color w:val="auto"/>
          <w:sz w:val="24"/>
          <w:highlight w:val="none"/>
          <w:lang w:eastAsia="zh-CN"/>
        </w:rPr>
        <w:t xml:space="preserve">东台市实验小学未来实验室建设项目（第三次）</w:t>
      </w:r>
      <w:r/>
    </w:p>
    <w:p>
      <w:pPr>
        <w:ind w:left="0" w:firstLine="960"/>
        <w:keepLines w:val="0"/>
        <w:keepNext w:val="0"/>
        <w:pageBreakBefore w:val="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采购项目编号：</w:t>
      </w:r>
      <w:r>
        <w:rPr>
          <w:rFonts w:hint="eastAsia" w:ascii="宋体" w:hAnsi="宋体"/>
          <w:color w:val="auto"/>
          <w:sz w:val="24"/>
          <w:highlight w:val="none"/>
          <w:lang w:eastAsia="zh-CN"/>
        </w:rPr>
        <w:t xml:space="preserve">JSZC-320981-CCGC-G2025-0062</w:t>
      </w:r>
      <w:r/>
    </w:p>
    <w:p>
      <w:pPr>
        <w:ind w:left="0" w:firstLine="480"/>
        <w:keepLines w:val="0"/>
        <w:keepNext w:val="0"/>
        <w:pageBreakBefore w:val="0"/>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 xml:space="preserve">（2）采购计划编号：</w:t>
      </w:r>
      <w:r>
        <w:rPr>
          <w:rFonts w:hint="eastAsia" w:ascii="宋体" w:hAnsi="宋体"/>
          <w:color w:val="auto"/>
          <w:sz w:val="24"/>
          <w:highlight w:val="none"/>
          <w:lang w:val="en-US" w:eastAsia="zh-CN"/>
        </w:rPr>
        <w:t xml:space="preserve">/</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（3）项目内容：</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采购标的及数量：</w:t>
      </w:r>
      <w:r/>
    </w:p>
    <w:tbl>
      <w:tblPr>
        <w:tblStyle w:val="865"/>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034"/>
        <w:gridCol w:w="3009"/>
        <w:gridCol w:w="1524"/>
        <w:gridCol w:w="1224"/>
      </w:tblGrid>
      <w:tr>
        <w:trPr>
          <w:jc w:val="center"/>
          <w:trHeight w:val="476"/>
        </w:trPr>
        <w:tc>
          <w:tcPr>
            <w:tcW w:w="1054"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2034" w:type="dxa"/>
            <w:vAlign w:val="center"/>
            <w:textDirection w:val="lrTb"/>
            <w:noWrap w:val="false"/>
          </w:tcPr>
          <w:p>
            <w:pPr>
              <w:jc w:val="center"/>
              <w:rPr>
                <w:color w:val="auto"/>
                <w:highlight w:val="none"/>
              </w:rPr>
            </w:pPr>
            <w:r>
              <w:rPr>
                <w:rFonts w:hint="eastAsia"/>
                <w:color w:val="auto"/>
                <w:highlight w:val="none"/>
              </w:rPr>
              <w:t xml:space="preserve">名称</w:t>
            </w:r>
            <w:r/>
          </w:p>
        </w:tc>
        <w:tc>
          <w:tcPr>
            <w:tcW w:w="3009" w:type="dxa"/>
            <w:vAlign w:val="center"/>
            <w:textDirection w:val="lrTb"/>
            <w:noWrap w:val="false"/>
          </w:tcPr>
          <w:p>
            <w:pPr>
              <w:jc w:val="center"/>
              <w:rPr>
                <w:rFonts w:hint="default" w:eastAsiaTheme="minorEastAsia"/>
                <w:color w:val="auto"/>
                <w:highlight w:val="none"/>
                <w:lang w:val="en-US" w:eastAsia="zh-CN"/>
              </w:rPr>
            </w:pPr>
            <w:r>
              <w:rPr>
                <w:rFonts w:hint="eastAsia"/>
                <w:color w:val="auto"/>
                <w:highlight w:val="none"/>
                <w:lang w:val="en-US" w:eastAsia="zh-CN"/>
              </w:rPr>
              <w:t xml:space="preserve">品牌、型号（版本号）</w:t>
            </w:r>
            <w:r/>
          </w:p>
        </w:tc>
        <w:tc>
          <w:tcPr>
            <w:tcW w:w="1524" w:type="dxa"/>
            <w:vAlign w:val="center"/>
            <w:textDirection w:val="lrTb"/>
            <w:noWrap w:val="false"/>
          </w:tcPr>
          <w:p>
            <w:pPr>
              <w:jc w:val="center"/>
              <w:rPr>
                <w:color w:val="auto"/>
                <w:highlight w:val="none"/>
              </w:rPr>
            </w:pPr>
            <w:r>
              <w:rPr>
                <w:rFonts w:hint="eastAsia"/>
                <w:color w:val="auto"/>
                <w:highlight w:val="none"/>
              </w:rPr>
              <w:t xml:space="preserve">单位</w:t>
            </w:r>
            <w:r/>
          </w:p>
        </w:tc>
        <w:tc>
          <w:tcPr>
            <w:tcW w:w="1224" w:type="dxa"/>
            <w:vAlign w:val="center"/>
            <w:textDirection w:val="lrTb"/>
            <w:noWrap w:val="false"/>
          </w:tcPr>
          <w:p>
            <w:pPr>
              <w:jc w:val="center"/>
              <w:rPr>
                <w:color w:val="auto"/>
                <w:highlight w:val="none"/>
              </w:rPr>
            </w:pPr>
            <w:r>
              <w:rPr>
                <w:rFonts w:hint="eastAsia"/>
                <w:color w:val="auto"/>
                <w:highlight w:val="none"/>
              </w:rPr>
              <w:t xml:space="preserve">数量</w:t>
            </w:r>
            <w:r/>
          </w:p>
        </w:tc>
      </w:tr>
      <w:tr>
        <w:trPr>
          <w:jc w:val="center"/>
          <w:trHeight w:val="292"/>
        </w:trPr>
        <w:tc>
          <w:tcPr>
            <w:tcW w:w="1054" w:type="dxa"/>
            <w:vAlign w:val="center"/>
            <w:textDirection w:val="lrTb"/>
            <w:noWrap w:val="false"/>
          </w:tcPr>
          <w:p>
            <w:pPr>
              <w:jc w:val="center"/>
              <w:keepLines w:val="0"/>
              <w:keepNext w:val="0"/>
              <w:widowControl/>
              <w:rPr>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1</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2</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3</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4</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336"/>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5</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6</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7</w:t>
            </w: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122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r>
      <w:tr>
        <w:trPr>
          <w:jc w:val="center"/>
          <w:trHeight w:val="358"/>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8</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336"/>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9</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c>
          <w:tcPr>
            <w:tcW w:w="12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345"/>
        </w:trPr>
        <w:tc>
          <w:tcPr>
            <w:tcW w:w="1054" w:type="dxa"/>
            <w:vAlign w:val="center"/>
            <w:textDirection w:val="lrTb"/>
            <w:noWrap w:val="false"/>
          </w:tcPr>
          <w:p>
            <w:pPr>
              <w:jc w:val="center"/>
              <w:keepLines w:val="0"/>
              <w:keepNext w:val="0"/>
              <w:widowControl/>
              <w:rPr>
                <w:rFonts w:hint="default"/>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10</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c>
          <w:tcPr>
            <w:tcW w:w="12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bl>
    <w:p>
      <w:pPr>
        <w:numPr>
          <w:ilvl w:val="255"/>
          <w:numId w:val="0"/>
        </w:numPr>
        <w:ind w:left="0" w:firstLine="480"/>
        <w:keepLines w:val="0"/>
        <w:keepNext w:val="0"/>
        <w:pageBreakBefore w:val="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p>
    <w:p>
      <w:pPr>
        <w:numPr>
          <w:ilvl w:val="255"/>
          <w:numId w:val="0"/>
        </w:num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left="0" w:firstLine="480"/>
        <w:keepLines w:val="0"/>
        <w:keepNext w:val="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标的名称：</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59"/>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59"/>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分散采购</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left="0" w:firstLine="480"/>
        <w:jc w:val="left"/>
        <w:keepLines w:val="0"/>
        <w:keepNext w:val="0"/>
        <w:pageBreakBefore w:val="0"/>
        <w:spacing w:line="360" w:lineRule="auto"/>
        <w:widowControl/>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p>
    <w:p>
      <w:pPr>
        <w:numPr>
          <w:ilvl w:val="255"/>
          <w:numId w:val="0"/>
        </w:numPr>
        <w:ind w:left="0" w:firstLine="480"/>
        <w:jc w:val="left"/>
        <w:keepLines w:val="0"/>
        <w:keepNext w:val="0"/>
        <w:pageBreakBefore w:val="0"/>
        <w:spacing w:line="360" w:lineRule="auto"/>
        <w:widowControl/>
        <w:rPr>
          <w:rFonts w:hint="eastAsia" w:ascii="宋体" w:hAnsi="宋体"/>
          <w:color w:val="auto"/>
          <w:sz w:val="24"/>
          <w:highlight w:val="none"/>
        </w:rPr>
      </w:pPr>
      <w:r>
        <w:rPr>
          <w:rFonts w:hint="eastAsia" w:ascii="宋体" w:hAnsi="宋体" w:eastAsia="华文楷体" w:cs="华文楷体"/>
          <w:color w:val="auto"/>
          <w:sz w:val="24"/>
          <w:highlight w:val="none"/>
        </w:rPr>
        <w:t xml:space="preserve">（</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jc w:val="left"/>
        <w:keepLines w:val="0"/>
        <w:keepNext w:val="0"/>
        <w:pageBreakBefore w:val="0"/>
        <w:spacing w:line="360" w:lineRule="auto"/>
        <w:widowControl/>
        <w:rPr>
          <w:rFonts w:ascii="宋体" w:hAnsi="宋体"/>
          <w:iCs/>
          <w:color w:val="auto"/>
          <w:sz w:val="24"/>
          <w:highlight w:val="none"/>
        </w:rPr>
      </w:pPr>
      <w:r>
        <w:rPr>
          <w:rFonts w:hint="eastAsia" w:ascii="宋体" w:hAnsi="宋体"/>
          <w:color w:val="auto"/>
          <w:sz w:val="24"/>
          <w:highlight w:val="none"/>
        </w:rPr>
        <w:t xml:space="preserve">本合同是否为专门面向中小企业的采购合同（中小企业预留合同）：</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iCs/>
          <w:color w:val="auto"/>
          <w:sz w:val="24"/>
          <w:highlight w:val="none"/>
        </w:rPr>
      </w:pPr>
      <w:r>
        <w:rPr>
          <w:rFonts w:hint="eastAsia"/>
          <w:color w:val="auto"/>
          <w:sz w:val="24"/>
          <w:highlight w:val="none"/>
        </w:rPr>
        <w:t xml:space="preserve">若本项目不专门面向中小企业采购，是否给予小微企业评审优惠：</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iCs/>
          <w:color w:val="auto"/>
          <w:sz w:val="24"/>
          <w:highlight w:val="none"/>
        </w:rPr>
      </w:pPr>
      <w:r>
        <w:rPr>
          <w:rFonts w:hint="eastAsia"/>
          <w:color w:val="auto"/>
          <w:sz w:val="24"/>
          <w:highlight w:val="none"/>
        </w:rPr>
        <w:t xml:space="preserve">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ind w:left="0" w:firstLine="480"/>
        <w:keepLines w:val="0"/>
        <w:keepNext w:val="0"/>
        <w:pageBreakBefore w:val="0"/>
        <w:spacing w:line="360" w:lineRule="auto"/>
        <w:rPr>
          <w:color w:val="auto"/>
          <w:sz w:val="24"/>
          <w:highlight w:val="none"/>
        </w:rPr>
      </w:pPr>
      <w:r>
        <w:rPr>
          <w:rFonts w:hint="eastAsia"/>
          <w:color w:val="auto"/>
          <w:sz w:val="24"/>
          <w:highlight w:val="none"/>
        </w:rPr>
        <w:t xml:space="preserve">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cs="宋体"/>
          <w:iCs/>
          <w:color w:val="auto"/>
          <w:sz w:val="24"/>
          <w:highlight w:val="none"/>
        </w:rPr>
        <w:t xml:space="preserve">否</w:t>
      </w:r>
      <w:r/>
    </w:p>
    <w:p>
      <w:pPr>
        <w:ind w:left="0" w:firstLine="480"/>
        <w:jc w:val="left"/>
        <w:keepLines w:val="0"/>
        <w:keepNext w:val="0"/>
        <w:pageBreakBefore w:val="0"/>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left="0" w:firstLine="480"/>
        <w:keepLines w:val="0"/>
        <w:keepNext w:val="0"/>
        <w:pageBreakBefore w:val="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left="0" w:firstLine="480"/>
        <w:keepLines w:val="0"/>
        <w:keepNext w:val="0"/>
        <w:pageBreakBefore w:val="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p>
    <w:p>
      <w:pPr>
        <w:ind w:left="0" w:firstLine="480"/>
        <w:keepLines w:val="0"/>
        <w:keepNext w:val="0"/>
        <w:pageBreakBefore w:val="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left="0" w:firstLine="480"/>
        <w:keepLines w:val="0"/>
        <w:keepNext w:val="0"/>
        <w:pageBreakBefore w:val="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jc w:val="left"/>
        <w:keepLines w:val="0"/>
        <w:keepNext w:val="0"/>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left="0" w:firstLine="480"/>
        <w:jc w:val="left"/>
        <w:keepLines w:val="0"/>
        <w:keepNext w:val="0"/>
        <w:pageBreakBefore w:val="0"/>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left="0" w:firstLine="480"/>
        <w:jc w:val="left"/>
        <w:keepLines w:val="0"/>
        <w:keepNext w:val="0"/>
        <w:pageBreakBefore w:val="0"/>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（11）涉及商品包装和快递包装的，是否参考《商品包装政府采购需求标准（试行）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快递包装政府采购需求标准（试行）》明确产品及相关快递服务的具体包装要求：</w:t>
      </w:r>
      <w:r/>
    </w:p>
    <w:p>
      <w:pPr>
        <w:numPr>
          <w:ilvl w:val="255"/>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不涉及</w:t>
      </w:r>
      <w:r/>
    </w:p>
    <w:p>
      <w:pPr>
        <w:numPr>
          <w:ilvl w:val="0"/>
          <w:numId w:val="1"/>
        </w:num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大写：</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（2）付款方式（按项目实际勾选填写，具体详见专用条款第二节第12.2款）：</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lang w:val="en-US" w:eastAsia="zh-CN"/>
        </w:rPr>
        <w:t xml:space="preserve">1.所有货物安装完毕，甲方组织初步验收，初步验收合格后收到乙方发票10个工作日内甲方向乙方支付至合同总价的90%款项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2.初步验收合格且项目运行满12个月后，甲方组织最终验收，最终验收合格后收到乙方发票10个工作日内甲方付清货款</w:t>
      </w: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rPr>
        <w:t xml:space="preserve"> 合同签订后30日内，支付合同金额30%的预付款</w:t>
      </w:r>
      <w:r>
        <w:rPr>
          <w:rFonts w:hint="eastAsia" w:ascii="宋体" w:hAnsi="宋体" w:eastAsia="宋体" w:cs="宋体"/>
          <w:color w:val="auto"/>
          <w:sz w:val="24"/>
          <w:szCs w:val="24"/>
          <w:highlight w:val="none"/>
          <w:u w:val="single"/>
          <w:lang w:eastAsia="zh-CN"/>
        </w:rPr>
        <w:t xml:space="preserve">（在签订合同时，乙方明确表示无需预付款或者主动要求降低预付款比例的，甲方可不适用上述关于预付款的规定。）</w:t>
      </w:r>
      <w:r>
        <w:rPr>
          <w:rFonts w:hint="eastAsia" w:ascii="宋体" w:hAnsi="宋体" w:eastAsia="宋体" w:cs="宋体"/>
          <w:color w:val="auto"/>
          <w:sz w:val="24"/>
          <w:szCs w:val="24"/>
          <w:highlight w:val="none"/>
          <w:u w:val="single"/>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r/>
    </w:p>
    <w:p>
      <w:pPr>
        <w:numPr>
          <w:ilvl w:val="0"/>
          <w:numId w:val="1"/>
        </w:numPr>
        <w:ind w:left="0"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合同履行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（1）合同履行期限：</w:t>
      </w:r>
      <w:r>
        <w:rPr>
          <w:rFonts w:hint="eastAsia" w:ascii="宋体" w:hAnsi="宋体" w:eastAsia="宋体" w:cs="宋体"/>
          <w:b/>
          <w:color w:val="auto"/>
          <w:sz w:val="24"/>
          <w:szCs w:val="24"/>
          <w:highlight w:val="none"/>
          <w:u w:val="single"/>
        </w:rPr>
        <w:t xml:space="preserve">合同签订后</w:t>
      </w:r>
      <w:r>
        <w:rPr>
          <w:rFonts w:hint="eastAsia" w:ascii="宋体" w:hAnsi="宋体" w:eastAsia="宋体" w:cs="宋体"/>
          <w:b/>
          <w:color w:val="auto"/>
          <w:sz w:val="24"/>
          <w:szCs w:val="24"/>
          <w:highlight w:val="none"/>
          <w:u w:val="single"/>
          <w:lang w:val="en-US" w:eastAsia="zh-CN"/>
        </w:rPr>
        <w:t xml:space="preserve">3</w:t>
      </w:r>
      <w:r>
        <w:rPr>
          <w:rFonts w:hint="eastAsia" w:ascii="宋体" w:hAnsi="宋体" w:eastAsia="宋体" w:cs="宋体"/>
          <w:b/>
          <w:color w:val="auto"/>
          <w:sz w:val="24"/>
          <w:szCs w:val="24"/>
          <w:highlight w:val="none"/>
          <w:u w:val="single"/>
        </w:rPr>
        <w:t xml:space="preserve">0日历天内货物全部送达招标人指定位置且安装、调试完毕，并确保正常稳定运行</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东台市（采购人指定地点）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履约担保：履约担保：是否收取履约保证金：</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w:t>
      </w:r>
      <w:r>
        <w:rPr>
          <w:rFonts w:hint="eastAsia" w:ascii="宋体" w:hAnsi="宋体" w:cs="宋体"/>
          <w:bCs/>
          <w:color w:val="auto"/>
          <w:sz w:val="24"/>
          <w:highlight w:val="none"/>
          <w:u w:val="single"/>
        </w:rPr>
        <w:t xml:space="preserve">（保险）代替缴纳履约保证金。</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u w:val="single"/>
        </w:rPr>
        <w:t xml:space="preserve"> 如以履约保函（保险）形式缴纳履约保证金，供应商可通过政府采购电子履约保函（保险）平台（www.jsdzbh.com）在线申请履约保函（保险）。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合同金额的10% </w:t>
      </w:r>
      <w:r>
        <w:rPr>
          <w:rFonts w:hint="eastAsia" w:ascii="宋体" w:hAnsi="宋体" w:cs="宋体"/>
          <w:bCs/>
          <w:color w:val="auto"/>
          <w:sz w:val="24"/>
          <w:highlight w:val="none"/>
          <w:u w:val="single"/>
          <w:lang w:eastAsia="zh-CN"/>
        </w:rPr>
        <w:t xml:space="preserve">。</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     履约担保期限：</w:t>
      </w:r>
      <w:r>
        <w:rPr>
          <w:rFonts w:hint="eastAsia" w:ascii="宋体" w:hAnsi="宋体" w:cs="宋体"/>
          <w:bCs/>
          <w:color w:val="auto"/>
          <w:sz w:val="24"/>
          <w:highlight w:val="none"/>
          <w:u w:val="single"/>
          <w:lang w:val="en-US" w:eastAsia="zh-CN"/>
        </w:rPr>
        <w:t xml:space="preserve">合同签订后90天。</w:t>
      </w:r>
      <w:r/>
    </w:p>
    <w:p>
      <w:pPr>
        <w:ind w:left="0" w:firstLine="480"/>
        <w:keepLines w:val="0"/>
        <w:keepNext w:val="0"/>
        <w:pageBreakBefore w:val="0"/>
        <w:spacing w:line="360" w:lineRule="auto"/>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）分期履行要求：</w:t>
      </w:r>
      <w:r>
        <w:rPr>
          <w:rFonts w:hint="eastAsia" w:ascii="宋体" w:hAnsi="宋体" w:cs="宋体"/>
          <w:bCs/>
          <w:color w:val="auto"/>
          <w:sz w:val="24"/>
          <w:highlight w:val="none"/>
          <w:lang w:val="en-US" w:eastAsia="zh-CN"/>
        </w:rPr>
        <w:t xml:space="preserve">/</w:t>
      </w:r>
      <w:r/>
    </w:p>
    <w:p>
      <w:pPr>
        <w:ind w:left="0" w:firstLine="480"/>
        <w:keepLines w:val="0"/>
        <w:keepNext w:val="0"/>
        <w:pageBreakBefore w:val="0"/>
        <w:spacing w:line="360" w:lineRule="auto"/>
        <w:rPr>
          <w:rFonts w:hint="eastAsia" w:ascii="宋体" w:hAnsi="宋体" w:cs="宋体" w:eastAsiaTheme="minorEastAsia"/>
          <w:color w:val="auto"/>
          <w:sz w:val="24"/>
          <w:highlight w:val="none"/>
          <w:u w:val="singl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）风险处置措施和替代方案：</w:t>
      </w:r>
      <w:r>
        <w:rPr>
          <w:rFonts w:hint="eastAsia" w:ascii="宋体" w:hAnsi="宋体" w:cs="宋体"/>
          <w:bCs/>
          <w:color w:val="auto"/>
          <w:sz w:val="24"/>
          <w:highlight w:val="none"/>
          <w:lang w:val="en-US" w:eastAsia="zh-CN"/>
        </w:rPr>
        <w:t xml:space="preserve">/</w:t>
      </w: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2"/>
        </w:num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东台市实验小学</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p>
    <w:p>
      <w:pPr>
        <w:ind w:left="0" w:firstLine="480"/>
        <w:keepLines w:val="0"/>
        <w:keepNext w:val="0"/>
        <w:pageBreakBefore w:val="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供应商提出</w:t>
      </w:r>
      <w:r>
        <w:rPr>
          <w:rFonts w:hint="eastAsia" w:ascii="宋体" w:hAnsi="宋体"/>
          <w:bCs/>
          <w:color w:val="auto"/>
          <w:sz w:val="24"/>
          <w:highlight w:val="none"/>
          <w:u w:val="single"/>
          <w:lang w:val="en-US" w:eastAsia="zh-CN"/>
        </w:rPr>
        <w:t xml:space="preserve">书面</w:t>
      </w:r>
      <w:r>
        <w:rPr>
          <w:rFonts w:hint="eastAsia" w:ascii="宋体" w:hAnsi="宋体"/>
          <w:bCs/>
          <w:color w:val="auto"/>
          <w:sz w:val="24"/>
          <w:highlight w:val="none"/>
          <w:u w:val="single"/>
        </w:rPr>
        <w:t xml:space="preserve">验收申请之日起 </w:t>
      </w:r>
      <w:r>
        <w:rPr>
          <w:rFonts w:hint="eastAsia" w:ascii="宋体" w:hAnsi="宋体"/>
          <w:bCs/>
          <w:color w:val="auto"/>
          <w:sz w:val="24"/>
          <w:highlight w:val="none"/>
          <w:u w:val="single"/>
          <w:lang w:val="en-US" w:eastAsia="zh-CN"/>
        </w:rPr>
        <w:t xml:space="preserve">7 </w:t>
      </w:r>
      <w:r>
        <w:rPr>
          <w:rFonts w:hint="eastAsia" w:ascii="宋体" w:hAnsi="宋体"/>
          <w:bCs/>
          <w:color w:val="auto"/>
          <w:sz w:val="24"/>
          <w:highlight w:val="none"/>
          <w:u w:val="single"/>
        </w:rPr>
        <w:t xml:space="preserve">日内组织验收</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一次性验收         </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bCs/>
          <w:color w:val="auto"/>
          <w:sz w:val="24"/>
          <w:highlight w:val="none"/>
        </w:rPr>
        <w:t xml:space="preserve">（4）履约</w:t>
      </w:r>
      <w:r>
        <w:rPr>
          <w:rFonts w:hint="eastAsia" w:ascii="宋体" w:hAnsi="宋体" w:eastAsia="宋体" w:cs="宋体"/>
          <w:bCs/>
          <w:color w:val="auto"/>
          <w:sz w:val="24"/>
          <w:szCs w:val="24"/>
          <w:highlight w:val="none"/>
        </w:rPr>
        <w:t xml:space="preserve">验收程序：</w:t>
      </w:r>
      <w:r>
        <w:rPr>
          <w:rFonts w:hint="eastAsia" w:ascii="宋体" w:hAnsi="宋体" w:eastAsia="宋体" w:cs="宋体"/>
          <w:bCs/>
          <w:color w:val="auto"/>
          <w:sz w:val="24"/>
          <w:szCs w:val="24"/>
          <w:highlight w:val="none"/>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left="0"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rPr>
          <w:rFonts w:hint="eastAsia" w:ascii="宋体" w:hAnsi="宋体" w:eastAsia="宋体" w:cs="宋体"/>
          <w:bCs/>
          <w:color w:val="auto"/>
          <w:sz w:val="24"/>
          <w:szCs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pStyle w:val="855"/>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single"/>
        </w:rPr>
        <w:t xml:space="preserve">验收标准具体如下：</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eastAsia="宋体" w:cs="宋体"/>
          <w:bCs/>
          <w:color w:val="auto"/>
          <w:sz w:val="24"/>
          <w:szCs w:val="24"/>
          <w:highlight w:val="none"/>
        </w:rPr>
        <w:t xml:space="preserve">A、产品为全新，未使用过的原装合格正品，安装质量符合各项技术标准和国家强制性</w:t>
      </w:r>
      <w:r>
        <w:rPr>
          <w:rFonts w:hint="eastAsia" w:ascii="宋体" w:hAnsi="宋体"/>
          <w:bCs/>
          <w:color w:val="auto"/>
          <w:sz w:val="24"/>
          <w:highlight w:val="none"/>
        </w:rPr>
        <w:t xml:space="preserve">标准；</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B、货物到达现场后，乙方必须在使用单位人员在场情况下当面开箱，共同清点、检查外观，箱记录，双方签字确认。</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C、乙方应保证货物到达甲方所在地完好无损，如有缺漏、损坏，由乙方负责调换、补齐或赔偿。</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D、乙方应提供完备的技术资料、装箱单和合格证等，验收合格条件（标准）如下：</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①设备技术参数与采购合同一致，性能指标达到规定的标准。</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②货物技术资料、装箱单、合格证等资料齐全。</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③在系统试运行期间所出现的问题得到解决，并运行正常。</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④在规定时间内完成交货并验收，并经甲方确认。</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E、乙方须完成甲方所有采购的软硬件产品安装调试工作，须符合甲方要求并试运行1个月后，才作为最终验收。</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bCs/>
          <w:color w:val="auto"/>
          <w:sz w:val="24"/>
          <w:highlight w:val="none"/>
        </w:rPr>
        <w:t xml:space="preserve">F、乙方提供的货物未达到采购文件规定要求，且对甲方造成损失的，由乙方承担一切责</w:t>
      </w:r>
      <w:r>
        <w:rPr>
          <w:rFonts w:hint="eastAsia" w:ascii="宋体" w:hAnsi="宋体" w:eastAsia="宋体" w:cs="宋体"/>
          <w:bCs/>
          <w:color w:val="auto"/>
          <w:sz w:val="24"/>
          <w:highlight w:val="none"/>
        </w:rPr>
        <w:t xml:space="preserve">任，并赔偿所造成的损失。</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G、甲方可邀请国家认可的质量检测机构参加验收工作。</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H、甲方需要制造商对乙方交付的产品（包括质量、技术参数等）进行确认的，乙方须无条件配合，并出具书面确认证明。</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bCs/>
          <w:color w:val="auto"/>
          <w:sz w:val="24"/>
          <w:highlight w:val="none"/>
        </w:rPr>
        <w:t xml:space="preserve">、产品包装材料归甲方所有。</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（7）是否以采购活动中供应商提供的样品作为参考：</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highlight w:val="none"/>
        </w:rPr>
        <w:t xml:space="preserve">（8）履约验收其他事项：</w:t>
      </w:r>
      <w:r>
        <w:rPr>
          <w:rFonts w:hint="eastAsia" w:ascii="宋体" w:hAnsi="宋体" w:eastAsia="宋体" w:cs="宋体"/>
          <w:bCs/>
          <w:color w:val="auto"/>
          <w:sz w:val="24"/>
          <w:szCs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0" w:firstLine="422"/>
        <w:keepLines w:val="0"/>
        <w:keepNext w:val="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left="0" w:firstLine="420"/>
        <w:keepLines w:val="0"/>
        <w:keepNext w:val="0"/>
        <w:pageBreakBefore w:val="0"/>
        <w:spacing w:line="360" w:lineRule="auto"/>
        <w:rPr>
          <w:color w:val="auto"/>
          <w:highlight w:val="none"/>
        </w:rPr>
      </w:pPr>
      <w:r>
        <w:rPr>
          <w:rFonts w:hint="eastAsia" w:ascii="宋体" w:hAnsi="宋体"/>
          <w:color w:val="auto"/>
          <w:szCs w:val="21"/>
          <w:highlight w:val="none"/>
        </w:rPr>
        <w:t xml:space="preserve">附件：具体标的及其技术要求和商务要求、联合协议、分包意向协议等。</w:t>
      </w:r>
      <w:r/>
    </w:p>
    <w:tbl>
      <w:tblPr>
        <w:tblStyle w:val="679"/>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6"/>
        <w:gridCol w:w="2814"/>
        <w:gridCol w:w="2308"/>
        <w:gridCol w:w="2471"/>
      </w:tblGrid>
      <w:tr>
        <w:trPr>
          <w:trHeight w:val="685"/>
        </w:trPr>
        <w:tc>
          <w:tcPr>
            <w:gridSpan w:val="2"/>
            <w:tcBorders>
              <w:bottom w:val="single" w:color="000000" w:sz="2" w:space="0"/>
              <w:right w:val="single" w:color="000000" w:sz="2" w:space="0"/>
            </w:tcBorders>
            <w:tcW w:w="5020" w:type="dxa"/>
            <w:vAlign w:val="center"/>
            <w:textDirection w:val="lrTb"/>
            <w:noWrap w:val="false"/>
          </w:tcPr>
          <w:p>
            <w:pPr>
              <w:jc w:val="center"/>
              <w:spacing w:line="24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779" w:type="dxa"/>
            <w:vAlign w:val="center"/>
            <w:textDirection w:val="lrTb"/>
            <w:noWrap w:val="false"/>
          </w:tcPr>
          <w:p>
            <w:pPr>
              <w:jc w:val="center"/>
              <w:spacing w:line="24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680"/>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cantSplit/>
          <w:trHeight w:val="1016"/>
        </w:trPr>
        <w:tc>
          <w:tcPr>
            <w:tcBorders>
              <w:top w:val="single" w:color="000000" w:sz="2" w:space="0"/>
              <w:right w:val="single" w:color="000000" w:sz="2" w:space="0"/>
            </w:tcBorders>
            <w:tcW w:w="2206" w:type="dxa"/>
            <w:vAlign w:val="center"/>
            <w:vMerge w:val="restart"/>
            <w:textDirection w:val="lrTb"/>
            <w:noWrap w:val="false"/>
          </w:tcPr>
          <w:p>
            <w:pPr>
              <w:jc w:val="center"/>
              <w:spacing w:line="240" w:lineRule="auto"/>
              <w:rPr>
                <w:color w:val="auto"/>
                <w:sz w:val="24"/>
                <w:highlight w:val="none"/>
              </w:rPr>
            </w:pPr>
            <w:r>
              <w:rPr>
                <w:color w:val="auto"/>
                <w:sz w:val="24"/>
                <w:highlight w:val="none"/>
              </w:rPr>
              <w:t xml:space="preserve">法定代表人</w:t>
            </w:r>
            <w:r/>
          </w:p>
          <w:p>
            <w:pPr>
              <w:ind w:firstLine="115"/>
              <w:jc w:val="center"/>
              <w:spacing w:line="24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14" w:type="dxa"/>
            <w:vAlign w:val="center"/>
            <w:vMerge w:val="restart"/>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法定代表人</w:t>
            </w:r>
            <w:r/>
          </w:p>
          <w:p>
            <w:pPr>
              <w:jc w:val="center"/>
              <w:spacing w:line="24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z w:val="24"/>
                <w:highlight w:val="none"/>
              </w:rPr>
            </w:pPr>
            <w:r>
              <w:rPr>
                <w:color w:val="auto"/>
                <w:sz w:val="24"/>
                <w:highlight w:val="none"/>
              </w:rPr>
            </w:r>
            <w:r/>
          </w:p>
        </w:tc>
      </w:tr>
      <w:tr>
        <w:trPr>
          <w:cantSplit/>
          <w:trHeight w:val="363"/>
        </w:trPr>
        <w:tc>
          <w:tcPr>
            <w:tcBorders>
              <w:bottom w:val="single" w:color="000000" w:sz="2" w:space="0"/>
              <w:right w:val="single" w:color="000000" w:sz="2" w:space="0"/>
            </w:tcBorders>
            <w:tcW w:w="2206" w:type="dxa"/>
            <w:vAlign w:val="center"/>
            <w:vMerge w:val="continue"/>
            <w:textDirection w:val="lrTb"/>
            <w:noWrap w:val="false"/>
          </w:tcPr>
          <w:p>
            <w:pPr>
              <w:jc w:val="center"/>
              <w:spacing w:line="24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14" w:type="dxa"/>
            <w:vAlign w:val="center"/>
            <w:vMerge w:val="continue"/>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457"/>
        </w:trPr>
        <w:tc>
          <w:tcPr>
            <w:gridSpan w:val="4"/>
            <w:tcBorders>
              <w:top w:val="single" w:color="000000" w:sz="2" w:space="0"/>
            </w:tcBorders>
            <w:tcW w:w="9799" w:type="dxa"/>
            <w:vAlign w:val="center"/>
            <w:textDirection w:val="lrTb"/>
            <w:noWrap w:val="false"/>
          </w:tcPr>
          <w:p>
            <w:pPr>
              <w:jc w:val="left"/>
              <w:spacing w:line="24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pStyle w:val="670"/>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r/>
      <w:bookmarkStart w:id="168" w:name="_Toc20313"/>
      <w:r>
        <w:rPr>
          <w:rFonts w:hint="eastAsia" w:ascii="黑体" w:hAnsi="黑体" w:eastAsia="黑体"/>
          <w:b w:val="0"/>
          <w:bCs w:val="0"/>
          <w:color w:val="auto"/>
          <w:sz w:val="28"/>
          <w:szCs w:val="28"/>
          <w:highlight w:val="none"/>
        </w:rPr>
        <w:t xml:space="preserve">第二节 政府采购合同通用条款</w:t>
      </w:r>
      <w:bookmarkEnd w:id="167"/>
      <w: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3"/>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84"/>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p>
    <w:p>
      <w:pPr>
        <w:pStyle w:val="684"/>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4"/>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59"/>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质量标准和保证</w:t>
      </w:r>
      <w:r/>
    </w:p>
    <w:p>
      <w:pPr>
        <w:pStyle w:val="689"/>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89"/>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6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 xml:space="preserve">。</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670"/>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p>
    <w:p>
      <w:pPr>
        <w:pStyle w:val="68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5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5"/>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59"/>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59"/>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59"/>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684"/>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59"/>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6"/>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68"/>
      <w:r/>
      <w:r/>
    </w:p>
    <w:tbl>
      <w:tblPr>
        <w:tblStyle w:val="679"/>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599"/>
      </w:tblGrid>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第1.2（6）项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联合体具体要求</w:t>
            </w:r>
            <w:r/>
          </w:p>
        </w:tc>
        <w:tc>
          <w:tcPr>
            <w:tcW w:w="5599" w:type="dxa"/>
            <w:vAlign w:val="center"/>
            <w:textDirection w:val="lrTb"/>
            <w:noWrap w:val="false"/>
          </w:tcPr>
          <w:p>
            <w:pPr>
              <w:pStyle w:val="875"/>
              <w:ind w:firstLine="42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本项目不接受联合体</w:t>
            </w:r>
            <w:r/>
          </w:p>
        </w:tc>
      </w:tr>
      <w:tr>
        <w:trPr>
          <w:jc w:val="center"/>
          <w:trHeight w:val="604"/>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第1.2（7）项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其他术语解释</w:t>
            </w:r>
            <w:r/>
          </w:p>
        </w:tc>
        <w:tc>
          <w:tcPr>
            <w:tcW w:w="5599" w:type="dxa"/>
            <w:vAlign w:val="center"/>
            <w:textDirection w:val="lrTb"/>
            <w:noWrap w:val="false"/>
          </w:tcPr>
          <w:p>
            <w:pPr>
              <w:pStyle w:val="875"/>
              <w:ind w:firstLine="42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第4.4款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履约验收中甲方提出异议或作出说明的期限</w:t>
            </w:r>
            <w:r/>
          </w:p>
        </w:tc>
        <w:tc>
          <w:tcPr>
            <w:tcW w:w="5599" w:type="dxa"/>
            <w:vAlign w:val="center"/>
            <w:textDirection w:val="lrTb"/>
            <w:noWrap w:val="false"/>
          </w:tcPr>
          <w:p>
            <w:pPr>
              <w:pStyle w:val="875"/>
              <w:ind w:firstLine="42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在竣工验收完成后的30日内，甲方对乙方所供货物的技术性能和参数等方面的问题有提出异议的权利。</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第4.6款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约定甲方承担的其他义务和责任</w:t>
            </w:r>
            <w:r/>
          </w:p>
        </w:tc>
        <w:tc>
          <w:tcPr>
            <w:tcW w:w="5599" w:type="dxa"/>
            <w:vAlign w:val="center"/>
            <w:textDirection w:val="lrTb"/>
            <w:noWrap w:val="false"/>
          </w:tcPr>
          <w:p>
            <w:pPr>
              <w:pStyle w:val="875"/>
              <w:ind w:left="458"/>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协助、协调乙方与相关单位的配合工作</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第5.4款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约定乙方承担的其他义务和责任</w:t>
            </w:r>
            <w:r/>
          </w:p>
        </w:tc>
        <w:tc>
          <w:tcPr>
            <w:tcW w:w="5599" w:type="dxa"/>
            <w:vAlign w:val="center"/>
            <w:textDirection w:val="lrTb"/>
            <w:noWrap w:val="false"/>
          </w:tcPr>
          <w:p>
            <w:pPr>
              <w:pStyle w:val="875"/>
              <w:ind w:firstLine="42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1、乙方保证甲方在使用该货物或其任何一部分时免受第三方关于侵犯其专利权、商标权、工业设计权、知识产权等相关权利的指控。</w:t>
            </w:r>
            <w:r/>
          </w:p>
          <w:p>
            <w:pPr>
              <w:pStyle w:val="875"/>
              <w:ind w:firstLine="42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2、如货物的硬（软）件质量、规格在使用期内被证明存在缺陷，包括潜在的缺陷或使用不合适的材料，甲方或乙方有权凭有关证明文件向供方提出索赔，并交有关部门处理。</w:t>
            </w:r>
            <w:r/>
          </w:p>
          <w:p>
            <w:pPr>
              <w:ind w:firstLine="44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乙方逾期交付货物的，乙方应按逾期交货总额</w:t>
            </w:r>
            <w:r>
              <w:rPr>
                <w:rFonts w:hint="eastAsia" w:ascii="仿宋" w:hAnsi="仿宋" w:eastAsia="仿宋" w:cs="仿宋"/>
                <w:color w:val="auto"/>
                <w:sz w:val="22"/>
                <w:szCs w:val="22"/>
                <w:highlight w:val="none"/>
                <w:lang w:val="en-US" w:eastAsia="zh-CN"/>
              </w:rPr>
              <w:t xml:space="preserve">5‰元/天</w:t>
            </w:r>
            <w:r>
              <w:rPr>
                <w:rFonts w:hint="eastAsia" w:ascii="仿宋" w:hAnsi="仿宋" w:eastAsia="仿宋" w:cs="仿宋"/>
                <w:color w:val="auto"/>
                <w:sz w:val="22"/>
                <w:szCs w:val="22"/>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的违约金，如造成甲方损失超过违约金的，超出部分由乙方继续承担赔偿责任</w:t>
            </w:r>
            <w:r>
              <w:rPr>
                <w:rFonts w:hint="eastAsia" w:ascii="仿宋" w:hAnsi="仿宋" w:eastAsia="仿宋" w:cs="仿宋"/>
                <w:color w:val="auto"/>
                <w:sz w:val="22"/>
                <w:szCs w:val="22"/>
                <w:highlight w:val="none"/>
                <w:lang w:val="en-US" w:eastAsia="zh-CN"/>
              </w:rPr>
              <w:t xml:space="preserve">。</w:t>
            </w:r>
            <w:r/>
          </w:p>
          <w:p>
            <w:pPr>
              <w:ind w:firstLine="44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4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5、乙方如提供的货物或者人员不能满足甲方要求，甲方可要求其无条件更换，直至满足要求为止。</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第6.1款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履行合同义务的顺序</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w:t>
            </w:r>
            <w:r/>
          </w:p>
        </w:tc>
      </w:tr>
      <w:tr>
        <w:trPr>
          <w:cantSplit/>
          <w:jc w:val="center"/>
          <w:trHeight w:val="667"/>
        </w:trPr>
        <w:tc>
          <w:tcPr>
            <w:tcW w:w="1560" w:type="dxa"/>
            <w:vAlign w:val="center"/>
            <w:vMerge w:val="restart"/>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第7.1款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包装特殊要求</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1.商品包装层数不得超过3 层，空隙率不大于40%；</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2.商品包装尽可能使用单一材质的包装材料，如因功能需求必需使用不同材质，不同材质间应便于分离；</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3.商品包装中铅、汞、镉、六价铬的总含量应不大于100mg/kg；</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4.商品包装印刷使用的油墨中挥发性有机化合物(VOCs)含量应不大于 5%（以重量计）；</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5.塑料材质商品包装上呈现的印刷颜色不得超过6色；</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6.纸质商品包装应使用75%以上的可再生纤维原料生产；</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7.木质商品包装的原料应来源于可持续性森林。</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9每件包装箱内应附一份详细装箱单和质量合格凭证。</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cantSplit/>
          <w:jc w:val="center"/>
          <w:trHeight w:val="667"/>
        </w:trPr>
        <w:tc>
          <w:tcPr>
            <w:tcW w:w="1560" w:type="dxa"/>
            <w:vAlign w:val="center"/>
            <w:vMerge w:val="continue"/>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指定现场</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东台市（采购人指定地点）</w:t>
            </w:r>
            <w:r/>
          </w:p>
        </w:tc>
      </w:tr>
      <w:tr>
        <w:trPr>
          <w:jc w:val="center"/>
          <w:trHeight w:val="772"/>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第7.2款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运输特殊要求</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1.货物验收合格、交付使用并提供所需单据的日期视为交货日期。</w:t>
            </w:r>
            <w:r/>
          </w:p>
          <w:p>
            <w:pPr>
              <w:pStyle w:val="859"/>
              <w:ind w:firstLine="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2.乙方在货物发运手续办理完毕后24小时内或货到48小时前通知甲方，以准备接货。（具体时间根据双方实际需求调整）</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3.乙方装运的货物不应超过合同规定的数量或重量。乙方应对超交数量或超重而产生的一切后果负责。</w:t>
            </w:r>
            <w:r/>
          </w:p>
          <w:p>
            <w:pPr>
              <w:pStyle w:val="859"/>
              <w:ind w:firstLine="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4.货物在交付甲方前发生的货物损失及人员安全风险均由乙方负责。</w:t>
            </w:r>
            <w:r/>
          </w:p>
        </w:tc>
      </w:tr>
      <w:tr>
        <w:trPr>
          <w:jc w:val="center"/>
          <w:trHeight w:val="667"/>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第7.3款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保险要求</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货物交货前由乙方承担保险义务</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第8.2（1）项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质量保证期</w:t>
            </w:r>
            <w:r/>
          </w:p>
        </w:tc>
        <w:tc>
          <w:tcPr>
            <w:tcW w:w="5599" w:type="dxa"/>
            <w:vAlign w:val="center"/>
            <w:textDirection w:val="lrTb"/>
            <w:noWrap w:val="false"/>
          </w:tcPr>
          <w:p>
            <w:pPr>
              <w:pStyle w:val="702"/>
              <w:jc w:val="both"/>
              <w:spacing w:before="120" w:beforeAutospacing="0" w:after="120" w:afterAutospacing="0"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货物免费质保期：不低于三年（质保期以项目最终验收之日起算，包含硬件和软件维护、故障的调试及升级；中标人须保证所供系统的使用期为永久，保证招标人所购产品的有效性和合法性，中标人所投系统如非自主产权，须在签订合同前提供产权所有权人针对招标人的永久使用授权）</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第8.2（3）项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货物质量缺陷</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响应时间</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第8款补充</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质量保证要求</w:t>
            </w:r>
            <w:r/>
          </w:p>
        </w:tc>
        <w:tc>
          <w:tcPr>
            <w:tcW w:w="5599"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 在质保期内，乙方应对货物出现的质量及安全问题负责处理解决并承担一切费用（因甲方不当使用的除外）。</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2.乙方应按照国家有关法律法规规章和“三包”规定以及招标文件售后服务要求及投标文件售后服务承诺提供售后服务。</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3.所有货物保修服务方式均为乙方上门保修，由乙方派员到货物使用现场维修，所产生的一切费用由乙方承担（双方视项目情况调整）。</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02"/>
              <w:ind w:firstLine="440"/>
              <w:jc w:val="both"/>
              <w:keepLines w:val="0"/>
              <w:keepNext w:val="0"/>
              <w:pageBreakBefore w:val="0"/>
              <w:spacing w:before="120" w:beforeAutospacing="0" w:after="120" w:afterAutospacing="0"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第11.1款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其他应当保密的信息</w:t>
            </w:r>
            <w:r/>
          </w:p>
        </w:tc>
        <w:tc>
          <w:tcPr>
            <w:tcW w:w="5599" w:type="dxa"/>
            <w:vAlign w:val="center"/>
            <w:textDirection w:val="lrTb"/>
            <w:noWrap w:val="false"/>
          </w:tcPr>
          <w:p>
            <w:pPr>
              <w:pStyle w:val="702"/>
              <w:ind w:firstLine="440"/>
              <w:jc w:val="both"/>
              <w:keepLines w:val="0"/>
              <w:keepNext w:val="0"/>
              <w:pageBreakBefore w:val="0"/>
              <w:spacing w:beforeAutospacing="0" w:afterAutospacing="0"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乙方在任何情况下的泄密给甲方造成不良影响时，甲方有权立即终止合同并不支付全部货款（货款已付时乙方须无条款退还已收到的全部货款），同时支付20%的违约金，并作为不良记录公示。</w:t>
            </w:r>
            <w:r/>
          </w:p>
        </w:tc>
      </w:tr>
      <w:tr>
        <w:trPr>
          <w:jc w:val="center"/>
          <w:trHeight w:val="697"/>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第12.2款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合同价款支付时间及要求</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1.合同款项的支付方式及进度安排：详见合同协议书。</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 发票；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制造厂家出具的质量检验证书等；</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 装箱单；</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 甲方加盖公章证明交付使用合格的验收单。</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 报送手续所需的相关货物文件或安装资料。</w:t>
            </w:r>
            <w:r/>
          </w:p>
        </w:tc>
      </w:tr>
      <w:tr>
        <w:trPr>
          <w:jc w:val="center"/>
          <w:trHeight w:val="697"/>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第13.2款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履约保证金不予退还的情形</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除不可抗力情况外，投标人出现下列情形之一的，其履约保证金，招标人将视情节决定不予退还或部分不予退还。</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（1）中标人无正当理由拒绝签订合同的，或者在签订合同时向采购人提出附加条件或者更改合同实质性内容要求的；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（2）中标人不履行与采购人订立的合同的；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（3）中标人所供货物或服务不符合招标文件规定要求的；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（4）中标人采取欺骗、弄虚作假方式投标的或与</w:t>
            </w:r>
            <w:r>
              <w:rPr>
                <w:rFonts w:hint="eastAsia" w:ascii="仿宋" w:hAnsi="仿宋" w:eastAsia="仿宋" w:cs="仿宋"/>
                <w:color w:val="auto"/>
                <w:sz w:val="22"/>
                <w:szCs w:val="22"/>
                <w:highlight w:val="none"/>
                <w:lang w:eastAsia="zh-CN"/>
              </w:rPr>
              <w:t xml:space="preserve">其他</w:t>
            </w:r>
            <w:r>
              <w:rPr>
                <w:rFonts w:hint="eastAsia" w:ascii="仿宋" w:hAnsi="仿宋" w:eastAsia="仿宋" w:cs="仿宋"/>
                <w:color w:val="auto"/>
                <w:sz w:val="22"/>
                <w:szCs w:val="22"/>
                <w:highlight w:val="none"/>
              </w:rPr>
              <w:t xml:space="preserve">投标人串通投标的；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（5）中标人将合同内容转包、违法分包的；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（6）中标人故意捏造事实或伪造证明材料，进行虚假恶意投诉或反映的。</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第13.3款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履约保证金退还时间及逾期退还的违约金</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1、合同履行结束后，甲方应及时退还交纳的履约保证金。</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2、退还方式：退还至投标人缴纳履约保证金的账户。如为保函，在到期时自行失效。</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3、退还时间：验收合格且甲方收到发票后30日内。</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4、退还条件：</w:t>
            </w:r>
            <w:r>
              <w:rPr>
                <w:rFonts w:hint="eastAsia" w:ascii="仿宋" w:hAnsi="仿宋" w:eastAsia="仿宋" w:cs="仿宋"/>
                <w:color w:val="auto"/>
                <w:sz w:val="22"/>
                <w:szCs w:val="22"/>
                <w:highlight w:val="none"/>
                <w:lang w:eastAsia="zh-CN"/>
              </w:rPr>
              <w:t xml:space="preserve">安装调试完毕并经采购人验收合格并移交全部资料</w:t>
            </w:r>
            <w:r>
              <w:rPr>
                <w:rFonts w:hint="eastAsia" w:ascii="仿宋" w:hAnsi="仿宋" w:eastAsia="仿宋" w:cs="仿宋"/>
                <w:color w:val="auto"/>
                <w:sz w:val="22"/>
                <w:szCs w:val="22"/>
                <w:highlight w:val="none"/>
              </w:rPr>
              <w:t xml:space="preserve">，且采购人收到中标人出具的发票。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第14.1（3）项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运行监督、维修期限</w:t>
            </w:r>
            <w:r/>
          </w:p>
        </w:tc>
        <w:tc>
          <w:tcPr>
            <w:shd w:val="clear" w:color="auto" w:fill="auto"/>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详见合同协议书</w:t>
            </w:r>
            <w:r/>
          </w:p>
        </w:tc>
      </w:tr>
      <w:tr>
        <w:trPr>
          <w:jc w:val="center"/>
          <w:trHeight w:val="784"/>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第14.1（5）项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货物回收的约定</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第14.1（6）项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乙方提供的其他服务</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1.所有货物免费送达甲方指定地点，货物的托运、安装及预装常用软件（如需要）等，均不需另行付费。</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2.项目实施期间乙方人员安全和财产损失均由乙方负责，与甲方无涉。</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3.根据厂方的规定对所供货物进行保修，在质量保证期内，乙方不得收取任何费用；质量保证期满后，乙方对用户货物的维修，只收成本费，并提供终生技术服务。</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4.如甲方使用不当造成货物的毁损，乙方有义务协助维修。</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第15.1款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修理、重</w:t>
            </w:r>
            <w:r>
              <w:rPr>
                <w:rFonts w:hint="eastAsia" w:ascii="仿宋" w:hAnsi="仿宋" w:eastAsia="仿宋" w:cs="仿宋"/>
                <w:color w:val="auto"/>
                <w:sz w:val="22"/>
                <w:szCs w:val="22"/>
                <w:highlight w:val="none"/>
                <w:lang w:eastAsia="zh-CN"/>
              </w:rPr>
              <w:t xml:space="preserve">做</w:t>
            </w:r>
            <w:r>
              <w:rPr>
                <w:rFonts w:hint="eastAsia" w:ascii="仿宋" w:hAnsi="仿宋" w:eastAsia="仿宋" w:cs="仿宋"/>
                <w:color w:val="auto"/>
                <w:sz w:val="22"/>
                <w:szCs w:val="22"/>
                <w:highlight w:val="none"/>
              </w:rPr>
              <w:t xml:space="preserve">、更换相关具体规定</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详见合同通用条款8.2条款、合同专用条款第二节第8款补充条款及合同专用条款中索赔条款。</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第15.2（2）项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迟延交货赔偿费</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1.乙方应按照“开标（报价）一览表”中规定的交货期或承诺交货和提供服务，并交付甲方验收使用。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2.如果乙方无正当理由拖延交货，将受到以下制裁：加收误期赔偿或终止合同。</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 乙方逾期交付货物的，乙方应按逾期交货总额每日0.5% 向甲方支付违约金，由甲方从待付货款中扣除。逾期超过约定日期</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的违约金，如造成甲方损失超过违约金的，超出部分由乙方继续承担赔偿责任。</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4.如乙方不能交付货物，或者有违法转包他人情形，乙方应向甲方支付合同总价</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的滞纳金。</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第15.3款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逾期付款利息</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甲方无故逾期验收和办理合同款项支付手续的, 将按银行同期存款利率支付逾期付款部分的利息。</w:t>
            </w:r>
            <w:r/>
          </w:p>
        </w:tc>
      </w:tr>
      <w:tr>
        <w:trPr>
          <w:jc w:val="center"/>
          <w:trHeight w:val="876"/>
        </w:trPr>
        <w:tc>
          <w:tcPr>
            <w:tcBorders>
              <w:bottom w:val="single" w:color="000000" w:sz="2" w:space="0"/>
              <w:right w:val="single" w:color="000000" w:sz="2" w:space="0"/>
            </w:tcBorders>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其他违约责任</w:t>
            </w:r>
            <w:r/>
          </w:p>
        </w:tc>
        <w:tc>
          <w:tcPr>
            <w:tcBorders>
              <w:left w:val="single" w:color="000000" w:sz="2" w:space="0"/>
              <w:bottom w:val="single" w:color="000000" w:sz="2" w:space="0"/>
            </w:tcBorders>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1、乙方交付合同标的的标准不符合合同规定及招标文件规定标准的，甲方有权拒绝接受合同标的，并可单方面解除合同。</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2、详见附件</w:t>
            </w:r>
            <w:r/>
          </w:p>
        </w:tc>
      </w:tr>
      <w:tr>
        <w:trPr>
          <w:jc w:val="center"/>
          <w:trHeight w:val="90"/>
        </w:trPr>
        <w:tc>
          <w:tcPr>
            <w:tcBorders>
              <w:top w:val="single" w:color="000000" w:sz="2" w:space="0"/>
              <w:right w:val="single" w:color="000000" w:sz="2" w:space="0"/>
            </w:tcBorders>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解决争议的方法</w:t>
            </w:r>
            <w:r/>
          </w:p>
        </w:tc>
        <w:tc>
          <w:tcPr>
            <w:tcBorders>
              <w:top w:val="single" w:color="000000" w:sz="2" w:space="0"/>
              <w:left w:val="single" w:color="000000" w:sz="2" w:space="0"/>
            </w:tcBorders>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1.因本合同及合同有关事项发生的争议，由双方协商解决，协商不成时，按下列第</w:t>
            </w:r>
            <w:r>
              <w:rPr>
                <w:rFonts w:hint="eastAsia" w:ascii="仿宋" w:hAnsi="仿宋" w:eastAsia="仿宋" w:cs="仿宋"/>
                <w:color w:val="auto"/>
                <w:sz w:val="22"/>
                <w:szCs w:val="22"/>
                <w:highlight w:val="none"/>
                <w:u w:val="single"/>
              </w:rPr>
              <w:t xml:space="preserve">（2）</w:t>
            </w:r>
            <w:r>
              <w:rPr>
                <w:rFonts w:hint="eastAsia" w:ascii="仿宋" w:hAnsi="仿宋" w:eastAsia="仿宋" w:cs="仿宋"/>
                <w:color w:val="auto"/>
                <w:sz w:val="22"/>
                <w:szCs w:val="22"/>
                <w:highlight w:val="none"/>
              </w:rPr>
              <w:t xml:space="preserve">种方式解决：</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（1）向仲裁委员会申请仲裁，仲裁地点为</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（2）向甲方所在地人民法院起诉。</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纠纷解决办法</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第23.1款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其他专用条款</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3.验收不合格的货物，乙方应在</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10</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个工作日内予以更换，逾期按交货延误予以处罚。乙方所交付的货物品种、型号、规格不符合合同规定的，甲方有权拒收。甲方拒收的，乙方向甲方支付货款总额</w:t>
            </w:r>
            <w:r>
              <w:rPr>
                <w:rFonts w:hint="eastAsia" w:ascii="仿宋" w:hAnsi="仿宋" w:eastAsia="仿宋" w:cs="仿宋"/>
                <w:color w:val="auto"/>
                <w:sz w:val="22"/>
                <w:szCs w:val="22"/>
                <w:highlight w:val="none"/>
                <w:u w:val="single"/>
                <w:lang w:val="en-US" w:eastAsia="zh-CN"/>
              </w:rPr>
              <w:t xml:space="preserve">5</w:t>
            </w:r>
            <w:r>
              <w:rPr>
                <w:rFonts w:hint="eastAsia" w:ascii="仿宋" w:hAnsi="仿宋" w:eastAsia="仿宋" w:cs="仿宋"/>
                <w:color w:val="auto"/>
                <w:sz w:val="22"/>
                <w:szCs w:val="22"/>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4.货物验收要求</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（1）依照招标文件要求对全部货物、型号、规格、数量、外型、外观、包装及资料、文件（如装箱单、保修单、随箱介质等）进行验收。</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（2）甲方与乙方对货物到货后共同进行开箱检查，出现损坏、数量不全或产品不对等问题时，由乙方负责解决。</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（4）乙方应按照本合同规定的时间、地点和方式向乙方交付货物。</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交货时间：</w:t>
            </w:r>
            <w:r>
              <w:rPr>
                <w:rFonts w:hint="eastAsia" w:ascii="仿宋" w:hAnsi="仿宋" w:eastAsia="仿宋" w:cs="仿宋"/>
                <w:color w:val="auto"/>
                <w:sz w:val="22"/>
                <w:szCs w:val="22"/>
                <w:highlight w:val="none"/>
                <w:lang w:val="en-US" w:eastAsia="zh-CN"/>
              </w:rPr>
              <w:t xml:space="preserve">合同签订之日起</w:t>
            </w:r>
            <w:r>
              <w:rPr>
                <w:rFonts w:hint="eastAsia" w:ascii="仿宋" w:hAnsi="仿宋" w:eastAsia="仿宋" w:cs="仿宋"/>
                <w:color w:val="auto"/>
                <w:sz w:val="22"/>
                <w:szCs w:val="22"/>
                <w:highlight w:val="none"/>
                <w:u w:val="single"/>
                <w:lang w:val="en-US" w:eastAsia="zh-CN"/>
              </w:rPr>
              <w:t xml:space="preserve">30</w:t>
            </w:r>
            <w:r>
              <w:rPr>
                <w:rFonts w:hint="eastAsia" w:ascii="仿宋" w:hAnsi="仿宋" w:eastAsia="仿宋" w:cs="仿宋"/>
                <w:color w:val="auto"/>
                <w:sz w:val="22"/>
                <w:szCs w:val="22"/>
                <w:highlight w:val="none"/>
              </w:rPr>
              <w:t xml:space="preserve">日</w:t>
            </w:r>
            <w:r>
              <w:rPr>
                <w:rFonts w:hint="eastAsia" w:ascii="仿宋" w:hAnsi="仿宋" w:eastAsia="仿宋" w:cs="仿宋"/>
                <w:color w:val="auto"/>
                <w:sz w:val="22"/>
                <w:szCs w:val="22"/>
                <w:highlight w:val="none"/>
                <w:lang w:val="en-US" w:eastAsia="zh-CN"/>
              </w:rPr>
              <w:t xml:space="preserve">内</w:t>
            </w:r>
            <w:r>
              <w:rPr>
                <w:rFonts w:hint="eastAsia" w:ascii="仿宋" w:hAnsi="仿宋" w:eastAsia="仿宋" w:cs="仿宋"/>
                <w:color w:val="auto"/>
                <w:sz w:val="22"/>
                <w:szCs w:val="22"/>
                <w:highlight w:val="none"/>
              </w:rPr>
              <w:t xml:space="preserve">完成供货（安装）并交付使用。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交货地点：</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东台市（采购人指定地点）</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（5）甲方应在全部货物到货安装完毕后</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乙方提出验收申请之日起</w:t>
            </w:r>
            <w:r>
              <w:rPr>
                <w:rFonts w:hint="eastAsia" w:ascii="仿宋" w:hAnsi="仿宋" w:eastAsia="仿宋" w:cs="仿宋"/>
                <w:color w:val="auto"/>
                <w:sz w:val="22"/>
                <w:szCs w:val="22"/>
                <w:highlight w:val="none"/>
              </w:rPr>
              <w:t xml:space="preserve">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7</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日内进行验收，验收包括：型号、规格、数量、外观是否完好，安装调试是否合格等。验收合格后甲方应在验收报告上签字盖章。</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和经济赔偿责任。</w:t>
            </w:r>
            <w:r/>
          </w:p>
        </w:tc>
      </w:tr>
      <w:tr>
        <w:trPr>
          <w:jc w:val="center"/>
          <w:trHeight w:val="770"/>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spacing w:line="24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税费</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1.中国政府根据现行税法规定对甲方征收的与本合同有关的一切税费均由甲方负担（免税部分除外），招标文件另有规定的除外。</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2.中国政府根据现行税法规定对乙方征收的与本合同有关的一切税费均由乙方负担（免税部分除外）。</w:t>
            </w:r>
            <w:r/>
          </w:p>
        </w:tc>
      </w:tr>
      <w:tr>
        <w:trPr>
          <w:jc w:val="center"/>
          <w:trHeight w:val="770"/>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spacing w:line="24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伴随服务</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1.乙方应按照国家</w:t>
            </w:r>
            <w:r>
              <w:rPr>
                <w:rFonts w:hint="eastAsia" w:ascii="仿宋" w:hAnsi="仿宋" w:eastAsia="仿宋" w:cs="仿宋"/>
                <w:b/>
                <w:color w:val="auto"/>
                <w:sz w:val="22"/>
                <w:szCs w:val="22"/>
                <w:highlight w:val="none"/>
              </w:rPr>
              <w:t xml:space="preserve">“新三包”</w:t>
            </w:r>
            <w:r>
              <w:rPr>
                <w:rFonts w:hint="eastAsia" w:ascii="仿宋" w:hAnsi="仿宋" w:eastAsia="仿宋" w:cs="仿宋"/>
                <w:color w:val="auto"/>
                <w:sz w:val="22"/>
                <w:szCs w:val="22"/>
                <w:highlight w:val="none"/>
              </w:rPr>
              <w:t xml:space="preserve">规定和合同中所附的服务承诺提供服务。</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2.除第1条规定外，乙方还应提供下列服务：</w:t>
            </w:r>
            <w:r/>
          </w:p>
          <w:p>
            <w:pPr>
              <w:ind w:firstLine="442"/>
              <w:jc w:val="both"/>
              <w:keepLines w:val="0"/>
              <w:keepNext w:val="0"/>
              <w:pageBreakBefore w:val="0"/>
              <w:spacing w:line="240" w:lineRule="auto"/>
              <w:widowControl w:val="off"/>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 招标文件中的“服务要求”所规定的服务内容以及投标文件承诺提供的其他服务内容；</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负责货物的开孔，货物的现场安装；</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 提供货物组装和维修所需的工具；</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 在合同中乙方承诺的质保期限内对所提供货物正常使用实施监督、维修，但前提条件是该服务并不能免除乙方在质量保证期内应承担的义务；</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 在货物交货现场就货物的安装、启用、维护等对甲方人员进行培训。</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3.伴随服务的费用应含在合同价中，不单独进行支付。</w:t>
            </w:r>
            <w:r/>
          </w:p>
        </w:tc>
      </w:tr>
      <w:tr>
        <w:trPr>
          <w:jc w:val="center"/>
          <w:trHeight w:val="770"/>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索赔</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1.甲方有权根据当地质检部门出具的检验报告，向乙方提出索赔。</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2.根据合同规定的检验期和质量保证期内，如果乙方对甲方提出的索赔和差异负有责任，乙方应按照甲方同意的下列一种或多种方式解决索赔事宜：</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根据货物的低劣程度、损坏程度以及甲方所遭受损失的数额，乙方必须降低货物的价格。</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5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合同生效</w:t>
            </w:r>
            <w:r>
              <w:rPr>
                <w:rFonts w:hint="eastAsia" w:ascii="仿宋" w:hAnsi="仿宋" w:eastAsia="仿宋" w:cs="仿宋"/>
                <w:color w:val="auto"/>
                <w:sz w:val="22"/>
                <w:szCs w:val="22"/>
                <w:highlight w:val="none"/>
                <w:lang w:eastAsia="zh-CN"/>
              </w:rPr>
              <w:t xml:space="preserve">及其他</w:t>
            </w:r>
            <w:r/>
          </w:p>
          <w:p>
            <w:pPr>
              <w:jc w:val="center"/>
              <w:keepLines w:val="0"/>
              <w:keepNext w:val="0"/>
              <w:pageBreakBefore w:val="0"/>
              <w:spacing w:line="240" w:lineRule="auto"/>
              <w:widowControl w:val="off"/>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 合同经甲方、乙方盖章后生效。</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货物交付使用后所发生的合同纠纷，由甲方与乙方协商处理。</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4.本合同应按照中华人民共和国的现行法律进行解释。本合同未尽事宜，遵照《民法典》、《政府采购法》、国家法律法规、行业规范等有关条文执行。</w:t>
            </w:r>
            <w:r/>
          </w:p>
        </w:tc>
      </w:tr>
    </w:tbl>
    <w:p>
      <w:pPr>
        <w:pStyle w:val="70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02"/>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7"/>
      <w:r>
        <w:rPr>
          <w:rFonts w:hint="eastAsia" w:ascii="黑体" w:hAnsi="宋体" w:eastAsia="黑体" w:cs="黑体"/>
          <w:color w:val="auto"/>
          <w:sz w:val="44"/>
          <w:szCs w:val="44"/>
          <w:highlight w:val="none"/>
        </w:rPr>
        <w:t xml:space="preserve">四章 采购需求</w:t>
      </w:r>
      <w:bookmarkEnd w:id="158"/>
      <w:r/>
      <w:bookmarkEnd w:id="159"/>
      <w:r/>
      <w:bookmarkEnd w:id="160"/>
      <w:r/>
      <w:bookmarkEnd w:id="161"/>
      <w:r/>
      <w:bookmarkEnd w:id="162"/>
      <w:r/>
      <w:r/>
    </w:p>
    <w:p>
      <w:pPr>
        <w:pStyle w:val="70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70" w:name="_Toc49090575"/>
      <w:r/>
      <w:bookmarkStart w:id="171" w:name="_Toc26554093"/>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。（此为固定内容）</w:t>
      </w:r>
      <w:bookmarkEnd w:id="170"/>
      <w:r/>
      <w:bookmarkEnd w:id="171"/>
      <w:r/>
      <w:r/>
    </w:p>
    <w:p>
      <w:pPr>
        <w:pStyle w:val="702"/>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02"/>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其内容包含：</w:t>
      </w:r>
      <w:r/>
    </w:p>
    <w:p>
      <w:pPr>
        <w:numPr>
          <w:ilvl w:val="0"/>
          <w:numId w:val="0"/>
        </w:numPr>
        <w:ind w:firstLine="562"/>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一、</w:t>
      </w:r>
      <w:r>
        <w:rPr>
          <w:rFonts w:hint="eastAsia" w:asciiTheme="minorEastAsia" w:hAnsiTheme="minorEastAsia" w:eastAsiaTheme="minorEastAsia" w:cstheme="minorEastAsia"/>
          <w:b/>
          <w:bCs/>
          <w:color w:val="auto"/>
          <w:sz w:val="24"/>
          <w:szCs w:val="24"/>
          <w:highlight w:val="none"/>
          <w:lang w:val="en-US" w:eastAsia="zh-CN"/>
        </w:rPr>
        <w:t xml:space="preserve">采购内容</w:t>
      </w:r>
      <w:r>
        <w:rPr>
          <w:rFonts w:hint="eastAsia" w:asciiTheme="minorEastAsia" w:hAnsiTheme="minorEastAsia" w:cstheme="minorEastAsia"/>
          <w:b/>
          <w:bCs/>
          <w:color w:val="auto"/>
          <w:sz w:val="24"/>
          <w:szCs w:val="24"/>
          <w:highlight w:val="none"/>
          <w:lang w:val="en-US" w:eastAsia="zh-CN"/>
        </w:rPr>
        <w:t xml:space="preserve">：</w:t>
      </w:r>
      <w:r/>
    </w:p>
    <w:tbl>
      <w:tblPr>
        <w:tblStyle w:val="679"/>
        <w:tblW w:w="10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5893"/>
        <w:gridCol w:w="1982"/>
        <w:gridCol w:w="1986"/>
      </w:tblGrid>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穿戴式学生VR终端系统</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教师端VR教学管理系统</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融合学科VR教学资源</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小学科学VR教学系统</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设备充电消毒一体柜</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裸眼XR便携终端</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裸眼XR便携终端配件包</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1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偏振式3DVR便携式终端</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观察眼镜</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副</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VR资源制作软件</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3D 智慧黑板</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八边形操作台</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全钢讲台</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个</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教室文化背景墙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平方</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铝方通造型</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平米</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室内地板</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default"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平米</w:t>
            </w:r>
            <w:r/>
          </w:p>
        </w:tc>
      </w:tr>
    </w:tbl>
    <w:p>
      <w:pPr>
        <w:numPr>
          <w:ilvl w:val="0"/>
          <w:numId w:val="0"/>
        </w:numPr>
        <w:ind w:firstLine="482"/>
        <w:spacing w:line="460" w:lineRule="exact"/>
        <w:rPr>
          <w:rFonts w:hint="default"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本项目核心产品为：偏振式3DVR便携式终端</w:t>
      </w:r>
      <w:r/>
    </w:p>
    <w:p>
      <w:pPr>
        <w:numPr>
          <w:ilvl w:val="0"/>
          <w:numId w:val="0"/>
        </w:numPr>
        <w:ind w:firstLine="482"/>
        <w:spacing w:line="460" w:lineRule="exact"/>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二、技术参数及要求：</w:t>
      </w:r>
      <w:r/>
    </w:p>
    <w:tbl>
      <w:tblPr>
        <w:tblStyle w:val="679"/>
        <w:tblW w:w="9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0"/>
        <w:gridCol w:w="2526"/>
        <w:gridCol w:w="5662"/>
        <w:gridCol w:w="427"/>
        <w:gridCol w:w="531"/>
      </w:tblGrid>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trHeight w:val="646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穿戴式学生VR终端</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1.CPU：≥8核64位，主频≥1.8GHz；GPU主频≥500MHz。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2.内存：≥6GB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3.存储：≥256GB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4.无线：支持2X2 MIMO，WIFI6，2.4G/5G双频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5.蓝牙：支持BT5.1及以上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6.Android：Android 10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7.屏幕：≥5.5 inch x 1 SFR TFT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8.分辨率：≥3664x1920，刷新率：≥90Hz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9.视场角：≥90°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10瞳距调节：支持物理瞳距调节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11.传感器：9轴，1KHz采样频率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12.P-senor：人脸佩戴感应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13.前置摄像头：鱼眼摄像头≥4，支持头部6DoF定位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14.手柄：6DoF体感双手柄 ，支持光学定位、线性振动马达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15.机身按键：电源键，APP键（返回键），确认键，Home键，音量加，音量减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16.人体工程设计：采用电池后置，可替换泡棉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17.电池：支持QC3.0快速充电,≥5000mAh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18.扬声器：内置双立体声喇叭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19.麦克风：双麦克降噪，全指向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20.USB :支持usbType-C 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21.Led灯：三色Led 显示开机，关机，充电状态</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30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穿戴式学生VR终端系统</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0"/>
                <w:numId w:val="7"/>
              </w:num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支持开机自动进入设备系统，屏蔽与教育教学无关的图片、影视、游戏等内容；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2.支持对已有 VR 资源进行资源集成、统一管理，学生端内部支持使用手柄进行选择、切换课程资源。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3.兼容本项目中的所有VR资源，并能够动态添加新的VR资源。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4.课程资源参考“学科-教材-章节-课程资源”的形式直观展现，支持检查资源是否有新版本更新。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★5.支持学生自由选择课程资源的自由学习模式和教师端锁定学生VR终端，教师指定打开课程资源的教师管控模式（提供上述功能的证明材料包括但不限于软件功能性截图、产品说明书或官网截图等）。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6.接受并执行控制端的各种命令，同时向控制端反馈设备状态。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7.支持新手引导功能（提供上述功能的证明材料包括但不限于软件功能性截图、产品说明书或官网截图等）。</w:t>
            </w:r>
            <w:r/>
          </w:p>
          <w:p>
            <w:pPr>
              <w:numPr>
                <w:ilvl w:val="-1"/>
                <w:numId w:val="0"/>
              </w:num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8.支持提交VR资源成绩至VR教学管理系统。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★9.可调整视角观察场景现象（提供上述功能的证明材料包括但不限于软件功能性截图、产品说明书或官网截图等）。</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教师端VR教学管理系统</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1"/>
                <w:numId w:val="0"/>
              </w:numPr>
              <w:jc w:val="left"/>
              <w:rPr>
                <w:rFonts w:hint="default"/>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管理所有学生端设备，实时监察设备各项信息。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1.支持设备一键关机、重启等功能。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2.可设置学生端设备为自由或管控模式。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3.可进行课程资源相关管理、一键投屏管理、学生端设备统计和分析。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★4.教师端支持查看学生端可视化数据统计，包含以下但不仅限于下述功能：</w:t>
            </w:r>
            <w:r>
              <w:rPr>
                <w:rFonts w:hint="eastAsia"/>
                <w:highlight w:val="none"/>
                <w:lang w:val="en-US" w:eastAsia="zh-CN"/>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highlight w:val="none"/>
                <w:lang w:val="en-US" w:eastAsia="zh-CN"/>
              </w:rPr>
              <w:t xml:space="preserve">学习资源管理</w:t>
            </w:r>
            <w:r/>
          </w:p>
          <w:p>
            <w:pPr>
              <w:rPr>
                <w:rFonts w:hint="eastAsia"/>
                <w:highlight w:val="none"/>
                <w:lang w:val="en-US" w:eastAsia="zh-CN"/>
              </w:rPr>
            </w:pPr>
            <w:r>
              <w:rPr>
                <w:rFonts w:hint="eastAsia"/>
                <w:highlight w:val="none"/>
                <w:lang w:val="en-US" w:eastAsia="zh-CN"/>
              </w:rPr>
              <w:t xml:space="preserve">教师可通过系统检索并查看所有已分发给学生端的课程资源记录，方便教师回溯或二次调用教学材料。</w:t>
            </w:r>
            <w:r/>
          </w:p>
          <w:p>
            <w:pPr>
              <w:rPr>
                <w:rFonts w:hint="eastAsia"/>
                <w:highlight w:val="none"/>
                <w:lang w:val="en-US" w:eastAsia="zh-CN"/>
              </w:rPr>
            </w:pPr>
            <w:r>
              <w:rPr>
                <w:rFonts w:hint="eastAsia"/>
                <w:highlight w:val="none"/>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highlight w:val="none"/>
                <w:lang w:val="en-US" w:eastAsia="zh-CN"/>
              </w:rPr>
              <w:t xml:space="preserve">学习效果分析</w:t>
            </w:r>
            <w:r/>
          </w:p>
          <w:p>
            <w:pPr>
              <w:rPr>
                <w:rFonts w:hint="eastAsia"/>
                <w:highlight w:val="none"/>
                <w:lang w:val="en-US" w:eastAsia="zh-CN"/>
              </w:rPr>
            </w:pPr>
            <w:r>
              <w:rPr>
                <w:rFonts w:hint="eastAsia"/>
                <w:highlight w:val="none"/>
                <w:lang w:val="en-US" w:eastAsia="zh-CN"/>
              </w:rPr>
              <w:t xml:space="preserve">系统提供全班视角的学生实验成绩总览，对所有提交实验的学生进行自动成绩排名并集中展示。</w:t>
            </w:r>
            <w:r/>
          </w:p>
          <w:p>
            <w:pPr>
              <w:rPr>
                <w:rFonts w:hint="eastAsia"/>
                <w:highlight w:val="none"/>
                <w:lang w:val="en-US" w:eastAsia="zh-CN"/>
              </w:rPr>
            </w:pPr>
            <w:r>
              <w:rPr>
                <w:rFonts w:hint="eastAsia"/>
                <w:highlight w:val="none"/>
                <w:lang w:val="en-US" w:eastAsia="zh-CN"/>
              </w:rPr>
              <w:t xml:space="preserve">3</w:t>
            </w:r>
            <w:r>
              <w:rPr>
                <w:rFonts w:hint="eastAsia" w:ascii="宋体" w:hAnsi="宋体" w:eastAsia="宋体" w:cs="宋体"/>
                <w:i w:val="0"/>
                <w:iCs w:val="0"/>
                <w:color w:val="auto"/>
                <w:sz w:val="21"/>
                <w:szCs w:val="21"/>
                <w:highlight w:val="none"/>
                <w:u w:val="none"/>
                <w:lang w:val="en-US" w:eastAsia="zh-CN" w:bidi="ar"/>
              </w:rPr>
              <w:t xml:space="preserve">）</w:t>
            </w:r>
            <w:r>
              <w:rPr>
                <w:rFonts w:hint="eastAsia"/>
                <w:highlight w:val="none"/>
                <w:lang w:val="en-US" w:eastAsia="zh-CN"/>
              </w:rPr>
              <w:t xml:space="preserve">实验过程全景记录</w:t>
            </w:r>
            <w:r/>
          </w:p>
          <w:p>
            <w:pPr>
              <w:rPr>
                <w:rFonts w:hint="eastAsia"/>
                <w:highlight w:val="none"/>
                <w:lang w:val="en-US" w:eastAsia="zh-CN"/>
              </w:rPr>
            </w:pPr>
            <w:r>
              <w:rPr>
                <w:rFonts w:hint="eastAsia"/>
                <w:highlight w:val="none"/>
                <w:lang w:val="en-US" w:eastAsia="zh-CN"/>
              </w:rPr>
              <w:t xml:space="preserve">系统具备自动录制并存储学生完成实验全过程视频，确保操作过程的可回放与可复盘。</w:t>
            </w:r>
            <w:r/>
          </w:p>
          <w:p>
            <w:pPr>
              <w:rPr>
                <w:rFonts w:hint="eastAsia"/>
                <w:highlight w:val="none"/>
                <w:lang w:val="en-US" w:eastAsia="zh-CN"/>
              </w:rPr>
            </w:pPr>
            <w:r>
              <w:rPr>
                <w:rFonts w:hint="eastAsia"/>
                <w:highlight w:val="none"/>
                <w:lang w:val="en-US" w:eastAsia="zh-CN"/>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highlight w:val="none"/>
                <w:lang w:val="en-US" w:eastAsia="zh-CN"/>
              </w:rPr>
              <w:t xml:space="preserve">实验过程追溯</w:t>
            </w:r>
            <w:r/>
          </w:p>
          <w:p>
            <w:pPr>
              <w:rPr>
                <w:rFonts w:hint="eastAsia"/>
                <w:highlight w:val="none"/>
                <w:lang w:val="en-US" w:eastAsia="zh-CN"/>
              </w:rPr>
            </w:pPr>
            <w:r>
              <w:rPr>
                <w:rFonts w:hint="eastAsia"/>
                <w:highlight w:val="none"/>
                <w:lang w:val="en-US" w:eastAsia="zh-CN"/>
              </w:rPr>
              <w:t xml:space="preserve">统计学生在实验过程中实验步骤的进展情况、操作的正误情况，帮助教师评估学生对知识的掌握程度。</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（提供上述功能的证明材料包括但不限于软件功能性截图、产品说明书或官网截图等）</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融合学科VR教学资源</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1"/>
                <w:numId w:val="0"/>
              </w:numPr>
              <w:ind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1.教学资源所有模型均为经过烘焙的三维仿真模型，系统分辨率不低于1920*1200。</w:t>
            </w:r>
            <w:r/>
          </w:p>
          <w:p>
            <w:pPr>
              <w:numPr>
                <w:ilvl w:val="-1"/>
                <w:numId w:val="0"/>
              </w:numPr>
              <w:ind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2.教学资源支持6DoF体验。</w:t>
            </w:r>
            <w:r/>
          </w:p>
          <w:p>
            <w:pPr>
              <w:numPr>
                <w:ilvl w:val="-1"/>
                <w:numId w:val="0"/>
              </w:numPr>
              <w:ind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3.所有资源均支持在无互联网环境下正常操作使用。</w:t>
            </w:r>
            <w:r/>
          </w:p>
          <w:p>
            <w:pPr>
              <w:numPr>
                <w:ilvl w:val="-1"/>
                <w:numId w:val="0"/>
              </w:numPr>
              <w:ind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◆4.本VR教学资源需适配安装到本项目所有穿</w:t>
            </w:r>
            <w:r>
              <w:rPr>
                <w:rFonts w:hint="eastAsia" w:ascii="宋体" w:hAnsi="宋体" w:eastAsia="宋体" w:cs="宋体"/>
                <w:i w:val="0"/>
                <w:iCs w:val="0"/>
                <w:color w:val="auto"/>
                <w:sz w:val="21"/>
                <w:szCs w:val="21"/>
                <w:highlight w:val="none"/>
                <w:u w:val="none"/>
                <w:lang w:val="en-US" w:eastAsia="zh-CN" w:bidi="ar"/>
              </w:rPr>
              <w:t xml:space="preserve">戴式学生VR终端、裸眼XR便携终端和所有偏振式3DVR便携式终端三款设备中；每款设备均需提供以下主题板块资源，不少于80节，其中每个主题下设目录至少展示4个资源：安全教育主题（下设目录包含但不限于消防安全、地震避险、交通安全）、心理健康教育主题（下设目录包含但不限于情绪管理、自我认知、人际交往）、爱国主义及国防教育主题（下设目录包含但不限于红色故事、国防安全知识、历史事件场景）、科普教育主题（下设目录包含但不限于生命科学、星空探秘、航空科技）。各潜在供应商自行设计资源表格，表头至少包含序号、资源名称等内容。</w:t>
            </w:r>
            <w:r/>
          </w:p>
          <w:p>
            <w:pPr>
              <w:numPr>
                <w:ilvl w:val="-1"/>
                <w:numId w:val="0"/>
              </w:num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（针对以上需求投标单位提供承诺函）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小学科学VR教学系8统</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0"/>
                <w:numId w:val="8"/>
              </w:numPr>
              <w:jc w:val="left"/>
              <w:keepLines w:val="0"/>
              <w:keepNext w:val="0"/>
              <w:pageBreakBefore w:val="0"/>
              <w:spacing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所有模型均为经过烘焙的三维仿真模型，系统分辨率不低于1920*1200。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2.支持6DoF体验。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3.具有交互性，非简单视频类课件。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4.所有资源均支持在无互联网环境下正常操作使用。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5.VR资源中有实验原理、实验器材、实验目的、实验步骤、实验结论等信息内容提示。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6.本项目所有穿戴式学生VR终端、裸眼XR便携终端和所有偏振式3DVR便携式终端三款设备需适配安装VR教学资源。</w:t>
            </w:r>
            <w:r/>
          </w:p>
          <w:p>
            <w:pPr>
              <w:numPr>
                <w:ilvl w:val="0"/>
                <w:numId w:val="0"/>
              </w:numPr>
              <w:jc w:val="left"/>
              <w:keepLines w:val="0"/>
              <w:keepNext w:val="0"/>
              <w:pageBreakBefore w:val="0"/>
              <w:spacing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提供小学科学实验教学软件不少于100节独立的VR课件，涵盖1-6年级的教材，与本校使用的江苏省凤凰教育出版社出版的小学科学教材同步，需要本地化部署；所有课件满足授课需求，可以自主拆分、自由搭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8.各潜在供应商自行设计资源表格，表头至少包含序号、资源名称、课本册数、章节、对应教材知识点等内容。</w:t>
            </w:r>
            <w:r/>
          </w:p>
          <w:p>
            <w:pPr>
              <w:numPr>
                <w:ilvl w:val="-1"/>
                <w:numId w:val="0"/>
              </w:numPr>
              <w:ind w:left="0" w:firstLine="0"/>
              <w:jc w:val="left"/>
              <w:keepLines w:val="0"/>
              <w:keepNext w:val="0"/>
              <w:pageBreakBefore w:val="0"/>
              <w:spacing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（针对以上需求投标单位提供承诺函）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91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设备充电消毒一体柜</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功能参数：</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1、内置USB 5V 2.4A直流充电口（智能识别VR终端设备所需要的电流）；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2、每口独立充电并具备智能指示灯，有对应的数字序号；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3、搭配智能温控系统；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4、主动式节能开关电源，内置安全保护：雷击保护、浪涌保护、过载保护、漏电保护、过充保护；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5、自动消毒功能，消毒后自动关闭；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1、外形尺寸≤950*800*1150mm(含脚轮、防撞角)，工位容积约为205*368*150mm ，顶边圆弧设计；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2、两侧设有ABS工程提手，柜体四个底角加装软塑防撞角，配装4个3寸带刹车天然橡胶静音脚轮；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3、多层工位设计，配装ABS绿色隔断；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4、独立的电源管控封闭区；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5、前后门带锁，前后门板与侧板设有对流孔，通风散热。</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0"/>
                <w:numId w:val="9"/>
              </w:num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双频增强级无线接入点；整机支持12条空间流；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2、接口：≥1个10G/PoE 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3、整机接入速率≥12Gbps；</w:t>
            </w:r>
            <w:r/>
          </w:p>
          <w:p>
            <w:pPr>
              <w:numPr>
                <w:ilvl w:val="-1"/>
                <w:numId w:val="0"/>
              </w:num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4、含管理主机。</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裸眼XR便携终端</w:t>
            </w:r>
            <w:r/>
          </w:p>
        </w:tc>
        <w:tc>
          <w:tcPr>
            <w:shd w:val="clear" w:color="auto" w:fill="ffffff"/>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rPr>
                <w:rFonts w:hint="eastAsia"/>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裸眼XR便携终端采用便携化设计，支持无外部供电的移动使用。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1）3D显示：支持3D显示和2D显示自动切换，显示面积≥15英寸，显示分辨率≥3840*2160；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2）性能要求：</w:t>
            </w:r>
            <w:r>
              <w:rPr>
                <w:rFonts w:hint="eastAsia"/>
                <w:highlight w:val="none"/>
                <w:lang w:val="en-US" w:eastAsia="zh-CN"/>
              </w:rPr>
              <w:t xml:space="preserve">≥8核16线程</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；硬盘≥512G NVMe SSD；内存≥16G DDR5；显卡显存容量≥6GB；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3）裸眼3D显示：无需佩戴3D眼镜，仅通过裸眼方式即可观看到3D/VR的景深效果； </w:t>
            </w:r>
            <w:r/>
          </w:p>
          <w:p>
            <w:pPr>
              <w:numPr>
                <w:ilvl w:val="0"/>
                <w:numId w:val="10"/>
              </w:num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接口：≥1个Type-C接口，≥2个USB接口，≥1个RJ45网络接口，≥1个HDMI输出接口；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5）支持视频输出；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眼球跟踪：可追踪眼球的多目摄像头，通过摄像头系统能准确判断人眼所在位置，从而根据眼球追踪视角的不同来转换不同视角下的显示内容，达到逼真的XR效果（提供上述功能的证明材料包括但不限于软件功能性截图、产品说明书或官网截图等）；</w:t>
            </w:r>
            <w:r/>
          </w:p>
          <w:p>
            <w:pPr>
              <w:numPr>
                <w:ilvl w:val="-1"/>
                <w:numId w:val="0"/>
              </w:num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2）支持键鼠、光学追踪操控笔两种交互方式。操控笔交互方式能够对VR对象进行3个自由度坐标轴移动及3个自由度坐标轴的转动；可实现对象选择、旋转、缩放等操作。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3）搭载AR软件可实现外接AR摄像头和大屏，实现扩展显示；也可搭配带3D显示功能的大屏做扩屏模式显示，实现立体3D的VR投屏功能。</w:t>
            </w:r>
            <w:r/>
          </w:p>
        </w:tc>
        <w:tc>
          <w:tcPr>
            <w:shd w:val="clear" w:color="auto" w:fill="ffffff"/>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41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裸眼XR便携终端配件包</w:t>
            </w:r>
            <w:r/>
          </w:p>
        </w:tc>
        <w:tc>
          <w:tcPr>
            <w:shd w:val="clear" w:color="auto" w:fill="ffffff"/>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配件包应提供满足裸眼XR便携终端视频信号中转用途的专用设备与辅助设备，应支持将裸眼XR便携终端设备显示画面扩展至小组屏；应支持AR（增强现实）展示功能，将虚拟内容与现实拍摄场景叠加融合显示。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1.配件数量及要求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1）AR增强现实视频摄像头1个；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2）摄像头专用支架1个：支持360°旋转，脚架高度可调节；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3）USB扩展坞：支持USB3.0接口≥4个，支持Type-C单独供电；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4）无线鼠标：支持2.4GHz无线和蓝牙双模；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5）散热支架1个：满足裸眼XR便携终端设备散热需求；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6）HDMI连接线1根：能够实现裸眼XR便携终端视频传输，线材长度不小于5m；</w:t>
            </w:r>
            <w:r/>
          </w:p>
        </w:tc>
        <w:tc>
          <w:tcPr>
            <w:shd w:val="clear" w:color="auto" w:fill="ffffff"/>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11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偏振式3DVR便携式终端</w:t>
            </w:r>
            <w:r/>
          </w:p>
        </w:tc>
        <w:tc>
          <w:tcPr>
            <w:shd w:val="clear" w:color="auto" w:fill="ffffff"/>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1.3D显示单元、光学追踪定位单元、电脑单元采用一体式设计，显示尺寸≥15英寸；全高清偏光式3D显示技术，3D显示物理分辨率:≥1920*1080；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2.可实现AR/VR交互操作；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3.支持播放上下、左右、帧顺序格式的3D视频资源；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4.支持键鼠、触摸、光学追踪空间交互笔等交互方式；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5.支持3D虚拟现实显示方式与2D普通显示方式自动切换功能；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6.支持将虚拟现实交互场景立体展示至其它显示设备；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7.设备内置扬声器；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二、教学系统参数：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1.存储：≥256GB ；内存：≥8GB；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2.3D显示跟踪系统：≥2组红外传感器，每组红外传感器都包含1个相机和1颗红外LED灯；红外传感器间需协同工作；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3.设备具备头部3D眼镜位置追踪功能；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4.系统配备空间交互笔:支持6自由度坐标轴和空中姿态转动。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5.终端系统：可按照学段、学科等分类筛选并预览资源；可在离线或自由模式下打开设备内的资源。</w:t>
            </w:r>
            <w:r/>
          </w:p>
        </w:tc>
        <w:tc>
          <w:tcPr>
            <w:shd w:val="clear" w:color="auto" w:fill="ffffff"/>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观察眼镜</w:t>
            </w:r>
            <w:r/>
          </w:p>
        </w:tc>
        <w:tc>
          <w:tcPr>
            <w:shd w:val="clear" w:color="auto" w:fill="ffffff"/>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采用轻便的偏光式3D眼镜，无需电池及开关，即戴即用，免开关、免维护；</w:t>
            </w:r>
            <w:r/>
          </w:p>
        </w:tc>
        <w:tc>
          <w:tcPr>
            <w:shd w:val="clear" w:color="auto" w:fill="ffffff"/>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0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VR资源制作软件</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1.图形化创作工具软件，支持VR课件的设计制作,涵盖多学科模型库,不少于2000个模型，且可进行分类筛选。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2.支持对三维模型的浏览、拆分、标注、剖面切割、标记等功能。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3.需部署到所有偏振式3DVR便携式终端中。</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3D 智慧黑板</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1、整机三拼接平面一体化设计；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2、显示区域尺寸≥ 86英寸，偏光式3D液晶显示技术，物理分辨率≥3840*2160，整机可视角度≥100°，HDMI2.0接口；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3、配置OPS电脑，实现双系统运行，性能和存储容量满足VR资源的存储与运行。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3、每台配50副偏光式3D眼镜，无需电池，即戴即用，便携轻巧，免维护；支持左右格式、上下格式的3D内容；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4、具备智能控制2D/3D显示模式，可实现教师机对本机的2D与3D工作状态进行无线智能化控制；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5、本产品与AI裸眼XR便携式终端连接，学生可以通过偏振式3D观察眼镜看到VR立体效果。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4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八边形操作台</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1.边长600mm，直径1560mm，高度750mm（±10mm）；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2.台面采用≥12.5mm优质实芯理化板，具有抗老化、耐酸碱、防火、耐磨、无毒功能及易清洁、使用寿命长、外表美观等特点；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3.台身结构：铝合金框架结构,框架采用国标Ф50 mm±1.2mm 圆管为立腿，横管为30×30±1.2mm方管，铝合金型材的壁厚不小于1.4mm（±0.2 mm）。铝合金表面静电喷塑，连接件为ABS工程塑料连接件。铝合金型材应带凹槽，凹槽的宽度、深度应与所采用的柜体板材相匹配，接缝严密，无晃动现象。桌架整体耐腐蚀、防火、防潮、稳固耐用；台身侧板、背板及吊板采用≥12.7mm厚高密度PE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4.所有板材外露端面采用高质量ABS封边条，利用机械封边机配以热溶胶高温封边，高密封性不吸水、不膨胀，外型美观、经久耐用。实验桌整体设计科学合理且美观。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5.脚垫：采用特制模具ABS注塑脚垫，高度可调，可有效防止台身受潮，延长设备 的使用寿命。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全钢讲台</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1.规格：2000*700*800㎜ （±50mm）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2.台面采用理化板。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3.整体采用0.8mm厚优质冷轧钢板，全部钢制件防锈处理。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4.演示台设有储物柜，中间为演示台,设置电源主控系统、多媒体设备（主机、显示器、中控、功放、交换机）的预留位置。</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325（径）*420（高)mm， 凳面PP工程塑料注塑成型；支撑柱采用直径50mm圆钢管，顶端为165*165*1.5mm钢板，采用全周满焊焊接，用四颗直径8mm的自锁螺帽连接凳面，结构牢固，长期使用也不会出现摇晃松散现象；下端五星脚采用一次性铝压铸加工，表面经过防腐氧化处理和纯环氧树脂塑粉高温固化处理，具有较强的耐蚀性及承重性。</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r>
      <w:tr>
        <w:trPr>
          <w:trHeight w:val="12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8000（长度）*400mm(宽度）*1200mm（高度）。基材为18mm厚实木多层板（静曲强度≥15MPa)，表面覆三聚氰胺浸渍纸(耐磨转数≥1000转)，板材边缘采用同色ABS封边条(封边厚≥1mm)，背板为＞5 mm多层板，辅材包含304不锈钢五金件(铰链承重≥50kg，开合寿命≥10万次)、柜体采用三合一连接结构，门板与柜体间隙≤3mm，铰链安装后垂直度误差≤1.5mm。</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2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教室文化环境布置</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1.针对未来实验室文化环境、氛围营造的特点，对2间教室室内前后及两侧墙壁（除去窗户、智慧黑板位置）进行整体布置，其中一间长宽高约为10.6*6.9*3.5m，另一间长宽高约为13.6*6.6*3.45；所用材质为异形pvc UV，厚度≥1cm,亚克力背喷，厚度≥2mm。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2.提供平面效果图及安装说明。</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trHeight w:val="81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铝方通造型</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室内顶面铝方通造型，外观质量板材边部应切齐，无毛刺，裂边，板材不允许有开焊等。外观应整洁，图案清晰，色泽基本一致，无明显擦伤和毛刺，装饰面不得有明显压痕、印痕和凹凸等痕迹，目视无明显色差。不得有漏涂、波纹，鼓泡或穿透涂层的损伤。膜厚：平均膜厚 23umm，最小局部膜厚 22um，光泽度范围:38.6-39.7平均值 39.1。附着力0级，漆膜硬度&gt;2H，耐冲击性&gt;4N·m，耐油性检测结果无变化。</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r>
      <w:tr>
        <w:trPr>
          <w:trHeight w:val="29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室内地板</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高密度纤维板与高分子材料复合结构地板，板材厚度不低于1cm，E0级别，耐磨等级为家用I级 6000转，含铺装及同材质成品踢脚线等辅材。</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r>
    </w:tbl>
    <w:p>
      <w:pPr>
        <w:ind w:left="42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、其他要求：</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1.所有招标要求条款投标供应商均必须如实反映响应或偏离情况，如投标单位虚假响应招标文件要求，则一切后果由投标供应商自行承担。招标单位保留追究法律责任的权利</w:t>
      </w:r>
      <w:r>
        <w:rPr>
          <w:rFonts w:hint="eastAsia" w:asciiTheme="minorEastAsia" w:hAnsi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标“★”</w:t>
      </w:r>
      <w:r>
        <w:rPr>
          <w:rFonts w:hint="eastAsia" w:asciiTheme="minorEastAsia" w:hAnsiTheme="minorEastAsia" w:eastAsiaTheme="minorEastAsia" w:cstheme="minorEastAsia"/>
          <w:color w:val="auto"/>
          <w:sz w:val="24"/>
          <w:szCs w:val="24"/>
          <w:highlight w:val="none"/>
        </w:rPr>
        <w:t xml:space="preserve">为重要技术参数，</w:t>
      </w:r>
      <w:r>
        <w:rPr>
          <w:rFonts w:hint="eastAsia" w:asciiTheme="minorEastAsia" w:hAnsiTheme="minorEastAsia" w:eastAsiaTheme="minorEastAsia" w:cstheme="minorEastAsia"/>
          <w:color w:val="auto"/>
          <w:sz w:val="24"/>
          <w:szCs w:val="24"/>
          <w:highlight w:val="none"/>
          <w:lang w:val="en-US" w:eastAsia="zh-CN"/>
        </w:rPr>
        <w:t xml:space="preserve">响应文件</w:t>
      </w:r>
      <w:r>
        <w:rPr>
          <w:rFonts w:hint="eastAsia" w:asciiTheme="minorEastAsia" w:hAnsiTheme="minorEastAsia" w:eastAsiaTheme="minorEastAsia" w:cstheme="minorEastAsia"/>
          <w:color w:val="auto"/>
          <w:sz w:val="24"/>
          <w:szCs w:val="24"/>
          <w:highlight w:val="none"/>
        </w:rPr>
        <w:t xml:space="preserve">须</w:t>
      </w:r>
      <w:r>
        <w:rPr>
          <w:rFonts w:hint="eastAsia" w:asciiTheme="minorEastAsia" w:hAnsiTheme="minorEastAsia" w:eastAsiaTheme="minorEastAsia" w:cstheme="minorEastAsia"/>
          <w:color w:val="auto"/>
          <w:sz w:val="24"/>
          <w:szCs w:val="24"/>
          <w:highlight w:val="none"/>
          <w:lang w:val="en-US" w:eastAsia="zh-CN"/>
        </w:rPr>
        <w:t xml:space="preserve">按照要求</w:t>
      </w:r>
      <w:r>
        <w:rPr>
          <w:rFonts w:hint="eastAsia" w:asciiTheme="minorEastAsia" w:hAnsiTheme="minorEastAsia" w:eastAsiaTheme="minorEastAsia" w:cstheme="minorEastAsia"/>
          <w:color w:val="auto"/>
          <w:sz w:val="24"/>
          <w:szCs w:val="24"/>
          <w:highlight w:val="none"/>
        </w:rPr>
        <w:t xml:space="preserve">提供相关有效佐证</w:t>
      </w:r>
      <w:r>
        <w:rPr>
          <w:rFonts w:hint="eastAsia" w:asciiTheme="minorEastAsia" w:hAnsiTheme="minorEastAsia" w:cstheme="minorEastAsia"/>
          <w:color w:val="auto"/>
          <w:sz w:val="24"/>
          <w:szCs w:val="24"/>
          <w:highlight w:val="none"/>
          <w:lang w:val="en-US" w:eastAsia="zh-CN"/>
        </w:rPr>
        <w:t xml:space="preserve">材料</w:t>
      </w:r>
      <w:r>
        <w:rPr>
          <w:rFonts w:hint="eastAsia" w:asciiTheme="minorEastAsia" w:hAnsiTheme="minorEastAsia" w:eastAsiaTheme="minorEastAsia" w:cstheme="minorEastAsia"/>
          <w:color w:val="auto"/>
          <w:sz w:val="24"/>
          <w:szCs w:val="24"/>
          <w:highlight w:val="none"/>
          <w:lang w:val="en-US" w:eastAsia="zh-CN"/>
        </w:rPr>
        <w:t xml:space="preserve">或提供具有国家权威检测机构出具的检测报告</w:t>
      </w:r>
      <w:r>
        <w:rPr>
          <w:rFonts w:hint="eastAsia" w:asciiTheme="minorEastAsia" w:hAnsiTheme="minorEastAsia" w:eastAsiaTheme="minorEastAsia" w:cstheme="minorEastAsia"/>
          <w:color w:val="auto"/>
          <w:sz w:val="24"/>
          <w:szCs w:val="24"/>
          <w:highlight w:val="none"/>
        </w:rPr>
        <w:t xml:space="preserve">，若有部分“</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”条款未响应或不满足，将根据评审要求影响其得分，但不作为无效投标条款</w:t>
      </w:r>
      <w:r>
        <w:rPr>
          <w:rFonts w:hint="eastAsia" w:asciiTheme="minorEastAsia" w:hAnsiTheme="minorEastAsia" w:cstheme="minorEastAsia"/>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投标人须在投标前自行踏勘现场，了解本项目的现场环境及现有平台接入的要求（投标人可联系招标人提前试接入），确保与现有视频图像信息应用等各类平台对接</w:t>
      </w:r>
      <w:r>
        <w:rPr>
          <w:rFonts w:hint="eastAsia" w:ascii="宋体" w:hAnsi="宋体" w:eastAsia="宋体" w:cs="宋体"/>
          <w:color w:val="auto"/>
          <w:sz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、单价、报价及总价</w:t>
      </w:r>
      <w:r>
        <w:rPr>
          <w:rFonts w:hint="eastAsia" w:asciiTheme="minorEastAsia" w:hAnsiTheme="minorEastAsia" w:cstheme="minorEastAsia"/>
          <w:color w:val="auto"/>
          <w:sz w:val="24"/>
          <w:szCs w:val="24"/>
          <w:highlight w:val="none"/>
          <w:lang w:val="en-US" w:eastAsia="zh-CN"/>
        </w:rPr>
        <w:t xml:space="preserve">中</w:t>
      </w:r>
      <w:r>
        <w:rPr>
          <w:rFonts w:hint="eastAsia" w:asciiTheme="minorEastAsia" w:hAnsiTheme="minorEastAsia" w:eastAsiaTheme="minorEastAsia" w:cstheme="minorEastAsia"/>
          <w:color w:val="auto"/>
          <w:sz w:val="24"/>
          <w:szCs w:val="24"/>
          <w:highlight w:val="none"/>
        </w:rPr>
        <w:t xml:space="preserve">除标的物的价款外还应包括（但不限于）</w:t>
      </w:r>
      <w:r>
        <w:rPr>
          <w:rFonts w:hint="eastAsia" w:asciiTheme="minorEastAsia" w:hAnsiTheme="minorEastAsia" w:cstheme="minorEastAsia"/>
          <w:color w:val="auto"/>
          <w:sz w:val="24"/>
          <w:szCs w:val="24"/>
          <w:highlight w:val="none"/>
          <w:lang w:eastAsia="zh-CN"/>
        </w:rPr>
        <w:t xml:space="preserve">标的物、采购、包装、运输、验收、售后服务、货物（含附配件）的价格、辅材（包括但不限于完成本项目符合国标的网线、电线、开关、灯、铝方通造型四周收边等全部材料）、安装调试、包装费、运输费、装卸费、保险费、验收费、与各类系统对接、设备接入兼容所需的费用、技术服务费、检测费、售后服务费、保险、招标代理费、规费、税费等全部费用，报价时应逐项填写单价和报价，最后汇总得出总价</w:t>
      </w:r>
      <w:r>
        <w:rPr>
          <w:rFonts w:hint="eastAsia" w:asciiTheme="minorEastAsia" w:hAnsiTheme="minorEastAsia" w:eastAsiaTheme="minorEastAsia" w:cstheme="minorEastAsia"/>
          <w:color w:val="auto"/>
          <w:sz w:val="24"/>
          <w:szCs w:val="24"/>
          <w:highlight w:val="none"/>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采用按实结算方式，综合单价不论在何种情况下一律不予调整，供货时按实际供货并通过验收的数量结算。结算价=Σ中标综合单价*实际供货并通过验收的数量。</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、投标商需在投标之前充分调研</w:t>
      </w:r>
      <w:r>
        <w:rPr>
          <w:rFonts w:hint="eastAsia" w:asciiTheme="minorEastAsia" w:hAnsiTheme="minorEastAsia" w:eastAsiaTheme="minorEastAsia" w:cstheme="minorEastAsia"/>
          <w:color w:val="auto"/>
          <w:sz w:val="24"/>
          <w:szCs w:val="24"/>
          <w:highlight w:val="none"/>
          <w:lang w:val="en-US" w:eastAsia="zh-CN"/>
        </w:rPr>
        <w:t xml:space="preserve">现状</w:t>
      </w:r>
      <w:r>
        <w:rPr>
          <w:rFonts w:hint="eastAsia" w:asciiTheme="minorEastAsia" w:hAnsiTheme="minorEastAsia" w:eastAsiaTheme="minorEastAsia" w:cstheme="minorEastAsia"/>
          <w:color w:val="auto"/>
          <w:sz w:val="24"/>
          <w:szCs w:val="24"/>
          <w:highlight w:val="none"/>
        </w:rPr>
        <w:t xml:space="preserve">，所投的报价含系统开发、升级、调试、对接、运维、培训、</w:t>
      </w:r>
      <w:r>
        <w:rPr>
          <w:rFonts w:hint="eastAsia" w:asciiTheme="minorEastAsia" w:hAnsiTheme="minorEastAsia" w:eastAsiaTheme="minorEastAsia" w:cstheme="minorEastAsia"/>
          <w:color w:val="auto"/>
          <w:sz w:val="24"/>
          <w:szCs w:val="24"/>
          <w:highlight w:val="none"/>
          <w:lang w:val="en-US" w:eastAsia="zh-CN"/>
        </w:rPr>
        <w:t xml:space="preserve">服务费、</w:t>
      </w:r>
      <w:r>
        <w:rPr>
          <w:rFonts w:hint="eastAsia" w:asciiTheme="minorEastAsia" w:hAnsiTheme="minorEastAsia" w:eastAsiaTheme="minorEastAsia" w:cstheme="minorEastAsia"/>
          <w:color w:val="auto"/>
          <w:sz w:val="24"/>
          <w:szCs w:val="24"/>
          <w:highlight w:val="none"/>
        </w:rPr>
        <w:t xml:space="preserve">税金及质保期内的后续服务一切费用，即甲方不再另行支付其他费用。</w:t>
      </w:r>
      <w:r/>
    </w:p>
    <w:p>
      <w:pPr>
        <w:numPr>
          <w:ilvl w:val="0"/>
          <w:numId w:val="0"/>
        </w:numPr>
        <w:ind w:left="420"/>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val="en-US" w:eastAsia="zh-CN"/>
        </w:rPr>
        <w:t xml:space="preserve">、商务要求</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Pr>
      <w:r/>
      <w:bookmarkStart w:id="172" w:name="_Hlk157591027"/>
      <w:r/>
      <w:bookmarkStart w:id="173" w:name="_Hlk161135196"/>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项目完成</w:t>
      </w:r>
      <w:bookmarkEnd w:id="172"/>
      <w:r>
        <w:rPr>
          <w:rFonts w:hint="eastAsia" w:asciiTheme="minorEastAsia" w:hAnsiTheme="minorEastAsia" w:eastAsiaTheme="minorEastAsia" w:cstheme="minorEastAsia"/>
          <w:color w:val="auto"/>
          <w:sz w:val="24"/>
          <w:szCs w:val="24"/>
          <w:highlight w:val="none"/>
        </w:rPr>
        <w:t xml:space="preserve">时间、地点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要求</w:t>
      </w:r>
      <w:r>
        <w:rPr>
          <w:rFonts w:hint="eastAsia" w:asciiTheme="minorEastAsia" w:hAnsiTheme="minorEastAsia" w:eastAsiaTheme="minorEastAsia" w:cstheme="minorEastAsia"/>
          <w:color w:val="auto"/>
          <w:sz w:val="24"/>
          <w:szCs w:val="24"/>
          <w:highlight w:val="none"/>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1.项目完成时间：</w:t>
      </w:r>
      <w:r>
        <w:rPr>
          <w:rFonts w:hint="eastAsia" w:asciiTheme="minorEastAsia" w:hAnsiTheme="minorEastAsia" w:eastAsiaTheme="minorEastAsia" w:cstheme="minorEastAsia"/>
          <w:color w:val="auto"/>
          <w:sz w:val="24"/>
          <w:szCs w:val="24"/>
          <w:highlight w:val="none"/>
          <w:lang w:eastAsia="zh-CN"/>
        </w:rPr>
        <w:t xml:space="preserve">合同签订后</w:t>
      </w:r>
      <w:r>
        <w:rPr>
          <w:rFonts w:hint="eastAsia" w:asciiTheme="minorEastAsia" w:hAnsiTheme="minorEastAsia" w:cstheme="minorEastAsia"/>
          <w:color w:val="auto"/>
          <w:sz w:val="24"/>
          <w:szCs w:val="24"/>
          <w:highlight w:val="none"/>
          <w:lang w:eastAsia="zh-CN"/>
        </w:rPr>
        <w:t xml:space="preserve">30日历天</w:t>
      </w:r>
      <w:r>
        <w:rPr>
          <w:rFonts w:hint="eastAsia" w:asciiTheme="minorEastAsia" w:hAnsiTheme="minorEastAsia" w:eastAsiaTheme="minorEastAsia" w:cstheme="minorEastAsia"/>
          <w:color w:val="auto"/>
          <w:sz w:val="24"/>
          <w:szCs w:val="24"/>
          <w:highlight w:val="none"/>
          <w:lang w:eastAsia="zh-CN"/>
        </w:rPr>
        <w:t xml:space="preserve">内货物全部送达招标人指定位置且安装、调试完毕，并确保正常稳定运行。</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2.项目地点：采购人指定地点。</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3.中标人需严密组织设备安装工作，并建立项目台账资料备查。</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培训</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质保要求及</w:t>
      </w:r>
      <w:r>
        <w:rPr>
          <w:rFonts w:hint="eastAsia" w:asciiTheme="minorEastAsia" w:hAnsiTheme="minorEastAsia" w:eastAsiaTheme="minorEastAsia" w:cstheme="minorEastAsia"/>
          <w:color w:val="auto"/>
          <w:sz w:val="24"/>
          <w:szCs w:val="24"/>
          <w:highlight w:val="none"/>
        </w:rPr>
        <w:t xml:space="preserve">售后服务</w:t>
      </w:r>
      <w:r/>
    </w:p>
    <w:p>
      <w:pPr>
        <w:ind w:firstLine="480"/>
        <w:keepLines w:val="0"/>
        <w:keepNext w:val="0"/>
        <w:pageBreakBefore w:val="0"/>
        <w:spacing w:line="460" w:lineRule="exact"/>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1.培训要求</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根据采购单位要求，中标人提供现场操作培训，至操作人员可熟练操作。</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投标人为本项目培训中自有或聘用的培训师具有物理、化学、生物或信息技术专业高级教师资格证书</w:t>
      </w:r>
      <w:r>
        <w:rPr>
          <w:rFonts w:hint="eastAsia" w:asciiTheme="minorEastAsia" w:hAnsi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（3）软件</w:t>
      </w:r>
      <w:r>
        <w:rPr>
          <w:rFonts w:hint="eastAsia" w:asciiTheme="minorEastAsia" w:hAnsiTheme="minorEastAsia" w:eastAsiaTheme="minorEastAsia" w:cstheme="minorEastAsia"/>
          <w:color w:val="auto"/>
          <w:sz w:val="24"/>
          <w:szCs w:val="24"/>
          <w:highlight w:val="none"/>
          <w:lang w:val="en-US" w:eastAsia="zh-CN"/>
        </w:rPr>
        <w:t xml:space="preserve">产品厂家提供不少于6次的免费培训，并配合</w:t>
      </w:r>
      <w:r>
        <w:rPr>
          <w:rFonts w:hint="eastAsia" w:asciiTheme="minorEastAsia" w:hAnsiTheme="minorEastAsia" w:cstheme="minorEastAsia"/>
          <w:color w:val="auto"/>
          <w:sz w:val="24"/>
          <w:szCs w:val="24"/>
          <w:highlight w:val="none"/>
          <w:lang w:val="en-US" w:eastAsia="zh-CN"/>
        </w:rPr>
        <w:t xml:space="preserve">学校</w:t>
      </w:r>
      <w:r>
        <w:rPr>
          <w:rFonts w:hint="eastAsia" w:asciiTheme="minorEastAsia" w:hAnsiTheme="minorEastAsia" w:eastAsiaTheme="minorEastAsia" w:cstheme="minorEastAsia"/>
          <w:color w:val="auto"/>
          <w:sz w:val="24"/>
          <w:szCs w:val="24"/>
          <w:highlight w:val="none"/>
          <w:lang w:val="en-US" w:eastAsia="zh-CN"/>
        </w:rPr>
        <w:t xml:space="preserve">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质保</w:t>
      </w:r>
      <w:r>
        <w:rPr>
          <w:rFonts w:hint="eastAsia" w:asciiTheme="minorEastAsia" w:hAnsiTheme="minorEastAsia" w:eastAsiaTheme="minorEastAsia" w:cstheme="minorEastAsia"/>
          <w:color w:val="auto"/>
          <w:sz w:val="24"/>
          <w:szCs w:val="24"/>
          <w:highlight w:val="none"/>
        </w:rPr>
        <w:t xml:space="preserve">要求：</w:t>
      </w:r>
      <w:r/>
    </w:p>
    <w:p>
      <w:pPr>
        <w:ind w:firstLine="480"/>
        <w:spacing w:line="46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乙方应按招标文件规定的</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技术要求、质量标准向甲方提供</w:t>
      </w:r>
      <w:r>
        <w:rPr>
          <w:rFonts w:hint="eastAsia" w:asciiTheme="minorEastAsia" w:hAnsiTheme="minorEastAsia" w:eastAsiaTheme="minorEastAsia" w:cstheme="minorEastAsia"/>
          <w:color w:val="auto"/>
          <w:sz w:val="24"/>
          <w:szCs w:val="24"/>
          <w:highlight w:val="none"/>
          <w:lang w:val="en-US" w:eastAsia="zh-CN"/>
        </w:rPr>
        <w:t xml:space="preserve">合格服务</w:t>
      </w:r>
      <w:r>
        <w:rPr>
          <w:rFonts w:hint="eastAsia" w:asciiTheme="minorEastAsia" w:hAnsiTheme="minorEastAsia" w:eastAsiaTheme="minorEastAsia" w:cstheme="minorEastAsia"/>
          <w:color w:val="auto"/>
          <w:sz w:val="24"/>
          <w:szCs w:val="24"/>
          <w:highlight w:val="none"/>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质量保证期满后，供应商和厂家应同样提供免费电话咨询服务，并以优惠价格提供售后服务</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如甲方使用不当造成货物的毁损，乙方有义务协助维修。</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遵守相关保密协议，保证不擅自使用用户数据，并不将用户数据泄露给第三方。</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（三）验收</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甲方依法组织履约验收工作。</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按采购人的招标文件、投标人的响应文件、国家及行业相关规定验收</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对于实际使用人和甲方分离的项目，甲方邀请实际使用人参与验收。</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如有必要，甲方邀请参加本项目的其他供应商或第三方专业机构及专家参与验收，相关意见将作为验收书的参考资料。</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验收标准如下：</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A、产品为全新，未使用过的原装合格正品，安装质量符合各项技术标准和国家强制性标准；</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B、货物到达现场后，乙方必须在使用单位人员在场情况下当面开箱，共同清点、检查外观，箱记录，双方签字确认。</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C、乙方应保证货物到达甲方所在地完好无损，如有缺漏、损坏，由乙方负责调换、补齐或赔偿。</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D、乙方应提供完备的技术资料、装箱单和合格证等，验收合格条件（标准）如下：</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①设备技术参数与采购合同一致，性能指标达到规定的标准。</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②货物技术资料、装箱单、合格证等资料齐全。</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③在系统试运行期间所出现的问题得到解决，并运行正常。</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④在规定时间内完成交货并验收，并经甲方确认。</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E、乙方须完成甲方所有采购的软硬件产品安装调试工作，须符合甲方要求并试运行1个月后，才作为最终验收。</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F、乙方提供的货物未达到采购文件规定要求，且对甲方造成损失的，由乙方承担一切责任，并赔偿所造成的损失。</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G、甲方可邀请国家认可的质量检测机构参加验收工作。</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H、甲方需要制造商对乙方交付的产品（包括质量、技术参数等）进行确认的，乙方须无条件配合，并出具书面确认证明。</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I、产品包装材料归甲方所有。</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（四）付款方式：</w:t>
      </w:r>
      <w:bookmarkEnd w:id="173"/>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合同签订后30日内，支付合同金额30%的预付款。</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2、所有货物安装完毕，甲方组织初步验收，初步验收合格后收到乙方发票10个工作日内甲方向乙方支付至合同总价的</w:t>
      </w: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en-US" w:eastAsia="zh-CN"/>
        </w:rPr>
        <w:t xml:space="preserve">0%款项</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3、初步验收合格且项目运行满12个月后，甲方组织最终验收，最终验收合格后收到乙方发票10个工作日内甲方付清货款；</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在签订合同时，乙方明确表示无需预付款或者主动要求降低预付款比例的，甲方可不适用上述关于预付款的规定。</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结算款项时乙方须出具相应金额的有效票据。</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甲方原则上自收到发票后</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个工作日内将资金支付到乙方账户。</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spacing w:line="460" w:lineRule="exact"/>
        <w:rPr>
          <w:rFonts w:hint="eastAsia" w:eastAsia="宋体" w:asciiTheme="minorEastAsia" w:hAnsi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 xml:space="preserve">注：依据《保障中小企业款项支付条例》（2020年7月5日中华人民共和国国务院令第728号公布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r/>
    </w:p>
    <w:p>
      <w:pPr>
        <w:ind w:left="42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五、演示要求 </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上传视频演示</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（1）上传视频及演示内容：</w:t>
      </w:r>
      <w:r>
        <w:rPr>
          <w:rFonts w:hint="eastAsia" w:asciiTheme="minorEastAsia" w:hAnsiTheme="minorEastAsia" w:eastAsiaTheme="minorEastAsia" w:cstheme="minorEastAsia"/>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其他视频要求：</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请按照演示内容逐条演示，明确演示功能是否满足以及实现途径。</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视频质量要求画面清晰可见，语音清晰可辨，因视频制作质量导致演示内容无法满足招标文件要求的，视为负偏离。</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系统演示视频不得为PPT等静态图片方式，否则视为负偏离。</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3.演示内容：</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详见评标方法与评标标准。</w:t>
      </w:r>
      <w:r/>
    </w:p>
    <w:p>
      <w:pPr>
        <w:ind w:left="420"/>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本项目</w:t>
      </w:r>
      <w:r>
        <w:rPr>
          <w:rFonts w:hint="eastAsia" w:ascii="宋体" w:hAnsi="宋体" w:cs="宋体"/>
          <w:b/>
          <w:bCs/>
          <w:color w:val="auto"/>
          <w:sz w:val="28"/>
          <w:szCs w:val="28"/>
          <w:highlight w:val="none"/>
          <w:u w:val="single"/>
        </w:rPr>
        <w:t xml:space="preserve"> 不接受 </w:t>
      </w:r>
      <w:r>
        <w:rPr>
          <w:rFonts w:hint="eastAsia" w:ascii="宋体" w:hAnsi="宋体" w:cs="宋体"/>
          <w:b/>
          <w:bCs/>
          <w:color w:val="auto"/>
          <w:sz w:val="28"/>
          <w:szCs w:val="28"/>
          <w:highlight w:val="none"/>
        </w:rPr>
        <w:t xml:space="preserve">进口产品投标（接受/不接受）</w:t>
      </w:r>
      <w:r/>
    </w:p>
    <w:p>
      <w:pPr>
        <w:ind w:left="420"/>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采购标的对应的中小企业划分标准所属行业一览表</w:t>
      </w:r>
      <w:r/>
    </w:p>
    <w:tbl>
      <w:tblPr>
        <w:tblStyle w:val="679"/>
        <w:tblW w:w="87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439"/>
        <w:gridCol w:w="3494"/>
      </w:tblGrid>
      <w:tr>
        <w:trPr>
          <w:jc w:val="center"/>
          <w:tblCellSpacing w:w="0" w:type="dxa"/>
          <w:trHeight w:val="309"/>
        </w:trPr>
        <w:tc>
          <w:tcPr>
            <w:shd w:val="clear" w:color="auto" w:fill="auto"/>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W w:w="44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采购标的</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对应中小企业划分标准所属行业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穿戴式学生VR终端系统</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教师端VR教学管理系统</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融合学科VR教学资源</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323"/>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小学科学VR教学系统</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设备充电消毒一体柜</w:t>
            </w:r>
            <w:r/>
          </w:p>
        </w:tc>
        <w:tc>
          <w:tcPr>
            <w:shd w:val="clear" w:color="auto" w:fill="auto"/>
            <w:tcW w:w="349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无线AP</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裸眼XR便携终端</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裸眼XR便携终端配件包</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偏振式3DVR便携式终端</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观察眼镜</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VR资源制作软件</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3D 智慧黑板</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八边形操作台</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全钢讲台</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学生凳</w:t>
            </w:r>
            <w:r/>
          </w:p>
        </w:tc>
        <w:tc>
          <w:tcPr>
            <w:shd w:val="clear" w:color="auto" w:fill="auto"/>
            <w:tcW w:w="3494"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储物柜</w:t>
            </w:r>
            <w:r/>
          </w:p>
        </w:tc>
        <w:tc>
          <w:tcPr>
            <w:shd w:val="clear" w:color="auto" w:fill="auto"/>
            <w:tcW w:w="3494"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18</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教室文化环境布置</w:t>
            </w:r>
            <w:r/>
          </w:p>
        </w:tc>
        <w:tc>
          <w:tcPr>
            <w:shd w:val="clear" w:color="auto" w:fill="auto"/>
            <w:tcW w:w="3494"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19</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铝方通造型</w:t>
            </w:r>
            <w:r/>
          </w:p>
        </w:tc>
        <w:tc>
          <w:tcPr>
            <w:shd w:val="clear" w:color="auto" w:fill="auto"/>
            <w:tcW w:w="3494"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r>
        <w:trPr>
          <w:jc w:val="center"/>
          <w:tblCellSpacing w:w="0" w:type="dxa"/>
          <w:trHeight w:val="309"/>
        </w:trPr>
        <w:tc>
          <w:tcPr>
            <w:shd w:val="clear" w:color="auto" w:fill="auto"/>
            <w:tcW w:w="866"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20</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室内地板</w:t>
            </w:r>
            <w:r/>
          </w:p>
        </w:tc>
        <w:tc>
          <w:tcPr>
            <w:shd w:val="clear" w:color="auto" w:fill="auto"/>
            <w:tcW w:w="3494"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bl>
    <w:p>
      <w:pPr>
        <w:jc w:val="left"/>
        <w:widowControl/>
        <w:rPr>
          <w:rFonts w:hint="eastAsia" w:ascii="黑体" w:hAnsi="宋体" w:eastAsia="黑体" w:cs="黑体"/>
          <w:color w:val="auto"/>
          <w:sz w:val="44"/>
          <w:szCs w:val="44"/>
          <w:highlight w:val="none"/>
        </w:rPr>
      </w:pPr>
      <w:r/>
      <w:bookmarkStart w:id="174" w:name="_Toc120614281"/>
      <w:r>
        <w:rPr>
          <w:rFonts w:hint="eastAsia" w:ascii="宋体" w:hAnsi="宋体" w:eastAsia="宋体" w:cs="宋体"/>
          <w:i w:val="0"/>
          <w:iCs w:val="0"/>
          <w:color w:val="auto"/>
          <w:sz w:val="18"/>
          <w:szCs w:val="18"/>
          <w:highlight w:val="none"/>
          <w:u w:val="none"/>
          <w:lang w:val="en-US" w:eastAsia="zh-CN"/>
        </w:rPr>
        <w:br w:type="page" w:clear="all"/>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02"/>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02"/>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b/>
          <w:bCs w:val="0"/>
          <w:color w:val="auto"/>
          <w:highlight w:val="none"/>
        </w:rPr>
        <w:t xml:space="preserve">本项目专门面向中小企业采购，不再对小微企业服务给予价格扣除</w:t>
      </w:r>
      <w:r>
        <w:rPr>
          <w:rFonts w:hint="eastAsia" w:ascii="宋体" w:hAnsi="宋体" w:cs="宋体"/>
          <w:b/>
          <w:bCs w:val="0"/>
          <w:color w:val="auto"/>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02"/>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本次招标采用使用综合评分法，综合评分法，是指各标段投标文件满足招标文件全部实质性要求，且按照评审因素的量化指标评审得分最高的投标人为该标段中标候选人的评标方法。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具体评审细则如下：</w:t>
      </w:r>
      <w:r/>
    </w:p>
    <w:tbl>
      <w:tblPr>
        <w:tblStyle w:val="679"/>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697"/>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pStyle w:val="681"/>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pStyle w:val="681"/>
              <w:keepLines w:val="0"/>
              <w:keepNext w:val="0"/>
              <w:pageBreakBefore w:val="0"/>
              <w:spacing w:line="240" w:lineRule="exact"/>
              <w:rPr>
                <w:rFonts w:hint="eastAsia" w:ascii="仿宋" w:hAnsi="仿宋" w:eastAsia="仿宋" w:cs="仿宋"/>
                <w:color w:val="auto"/>
                <w:sz w:val="21"/>
                <w:szCs w:val="21"/>
                <w:highlight w:val="none"/>
              </w:rPr>
            </w:pPr>
            <w:r/>
            <w:bookmarkStart w:id="175" w:name="OLE_LINK20"/>
            <w:r>
              <w:rPr>
                <w:rFonts w:hint="eastAsia" w:ascii="仿宋" w:hAnsi="仿宋" w:eastAsia="仿宋" w:cs="仿宋"/>
                <w:color w:val="auto"/>
                <w:sz w:val="21"/>
                <w:szCs w:val="21"/>
                <w:highlight w:val="none"/>
              </w:rPr>
              <w:t xml:space="preserve">满足招标文件要求且投标价格最低的投标报价为基准价，其价格分为满分。报价得分=(评标基准价/投标报价)×</w:t>
            </w:r>
            <w:r>
              <w:rPr>
                <w:rFonts w:hint="eastAsia" w:ascii="仿宋" w:hAnsi="仿宋" w:eastAsia="仿宋" w:cs="仿宋"/>
                <w:color w:val="auto"/>
                <w:sz w:val="21"/>
                <w:szCs w:val="21"/>
                <w:highlight w:val="none"/>
                <w:lang w:val="en-US" w:eastAsia="zh-CN"/>
              </w:rPr>
              <w:t xml:space="preserve">30</w:t>
            </w:r>
            <w:r>
              <w:rPr>
                <w:rFonts w:hint="eastAsia" w:ascii="仿宋" w:hAnsi="仿宋" w:eastAsia="仿宋" w:cs="仿宋"/>
                <w:color w:val="auto"/>
                <w:sz w:val="21"/>
                <w:szCs w:val="21"/>
                <w:highlight w:val="none"/>
              </w:rPr>
              <w:t xml:space="preserve">。</w:t>
            </w:r>
            <w:bookmarkEnd w:id="175"/>
            <w: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技术参数响应情况</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22</w:t>
            </w:r>
            <w:r/>
          </w:p>
        </w:tc>
        <w:tc>
          <w:tcPr>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对照招标文件中的要求进行评审（基础分22分），完全满足招标文件要求的不扣分；其中：标“★”指标为重点响应项，每发现一处负偏离扣1分，扣完为止。</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其他为响应项，每发现一处负偏离扣0.5分，扣完为止。</w:t>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作品数量</w:t>
            </w:r>
            <w:r/>
          </w:p>
        </w:tc>
        <w:tc>
          <w:tcPr>
            <w:tcBorders>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25</w:t>
            </w:r>
            <w:r/>
          </w:p>
        </w:tc>
        <w:tc>
          <w:tcPr>
            <w:tcBorders>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潜在供应商需按带“◆”处的要求提供资源清单表格资料，上传至“苏采云”系统。</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1、融合学科全交互VR教学资源，每个VR资源以0.1分计，最多计10分；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2、小学科学全交互VR教学资源，每个VR资源以0.1分计，最多计15分。</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功能演示</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10</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1、提供《空气有质量吗》一课的实验的操作录屏。实验须具备以下功能：（5分）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（1）展示空气相关知识点，包含组成部分和比例；（1分）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（2）支持进行实验操作，有对应的实验步骤提示；（1分）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（3）根据实验步骤完成实验，系统自动总结实验结果；（1分）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（4）可点击切换初始视角，切换至首次进入实验的视角；（1分）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（5）可点击重置场景，场景重置成首次进入实验室的场景。（1分）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2、提供一段国防安全知识类VR资源的模型操作录屏，如火箭发射原理展示，须具备以下功能：（5分）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（1）模拟模型的整体构造，展示模型全貌，点击模型部位，伴随语音和文字的介绍；（1分）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（2）展示模型的拆解操作步骤，伴随语音和文字的介绍，模拟模型组装过程，有提示功能；（1分）；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（3）模拟模型运行过程，操作正确和错误有对应提示，操作者可切换模型视角，有现场感；（1分）；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（4）可切换初始视角，切换至首次进入实验的视角（1分）；</w:t>
            </w:r>
            <w:r/>
          </w:p>
          <w:p>
            <w:pPr>
              <w:ind w:firstLine="420"/>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（5）可点击重置场景，场景重置成首次进入实验室的场景（1分）。</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rPr>
              <w:t xml:space="preserve">专项设计方案</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numPr>
                <w:ilvl w:val="0"/>
                <w:numId w:val="0"/>
              </w:numPr>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评委根据投标人提供的深化设计方案(包括采购需求中所有空间)，包括但不限于:(1)各空间平面布置图及说明方案(每个室提供不少于2张图纸):(2)各空间</w:t>
            </w:r>
            <w:r>
              <w:rPr>
                <w:rFonts w:hint="eastAsia" w:ascii="仿宋" w:hAnsi="仿宋" w:eastAsia="仿宋" w:cs="仿宋"/>
                <w:color w:val="auto"/>
                <w:sz w:val="21"/>
                <w:szCs w:val="21"/>
                <w:highlight w:val="none"/>
                <w:lang w:val="en-US" w:eastAsia="zh-CN"/>
              </w:rPr>
              <w:t xml:space="preserve">环境布置平面</w:t>
            </w:r>
            <w:r>
              <w:rPr>
                <w:rFonts w:hint="eastAsia" w:ascii="仿宋" w:hAnsi="仿宋" w:eastAsia="仿宋" w:cs="仿宋"/>
                <w:color w:val="auto"/>
                <w:sz w:val="21"/>
                <w:szCs w:val="21"/>
                <w:highlight w:val="none"/>
              </w:rPr>
              <w:t xml:space="preserve">效果图及</w:t>
            </w:r>
            <w:r>
              <w:rPr>
                <w:rFonts w:hint="eastAsia" w:ascii="仿宋" w:hAnsi="仿宋" w:eastAsia="仿宋" w:cs="仿宋"/>
                <w:color w:val="auto"/>
                <w:sz w:val="21"/>
                <w:szCs w:val="21"/>
                <w:highlight w:val="none"/>
                <w:lang w:val="en-US" w:eastAsia="zh-CN"/>
              </w:rPr>
              <w:t xml:space="preserve">安装</w:t>
            </w:r>
            <w:r>
              <w:rPr>
                <w:rFonts w:hint="eastAsia" w:ascii="仿宋" w:hAnsi="仿宋" w:eastAsia="仿宋" w:cs="仿宋"/>
                <w:color w:val="auto"/>
                <w:sz w:val="21"/>
                <w:szCs w:val="21"/>
                <w:highlight w:val="none"/>
              </w:rPr>
              <w:t xml:space="preserve">说明(每个室提供不少于4张图纸)</w:t>
            </w:r>
            <w:r>
              <w:rPr>
                <w:rFonts w:hint="eastAsia" w:ascii="仿宋" w:hAnsi="仿宋" w:eastAsia="仿宋" w:cs="仿宋"/>
                <w:color w:val="auto"/>
                <w:sz w:val="21"/>
                <w:szCs w:val="21"/>
                <w:highlight w:val="none"/>
                <w:lang w:eastAsia="zh-CN"/>
              </w:rPr>
              <w:t xml:space="preserve">；</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 xml:space="preserve">满足</w:t>
            </w:r>
            <w:r>
              <w:rPr>
                <w:rFonts w:hint="eastAsia" w:ascii="仿宋" w:hAnsi="仿宋" w:eastAsia="仿宋" w:cs="仿宋"/>
                <w:color w:val="auto"/>
                <w:sz w:val="21"/>
                <w:szCs w:val="21"/>
                <w:highlight w:val="none"/>
                <w:lang w:val="en-US" w:eastAsia="zh-CN" w:bidi="ar"/>
              </w:rPr>
              <w:t xml:space="preserve">上述2</w:t>
            </w:r>
            <w:r>
              <w:rPr>
                <w:rFonts w:hint="eastAsia" w:ascii="仿宋" w:hAnsi="仿宋" w:eastAsia="仿宋" w:cs="仿宋"/>
                <w:color w:val="auto"/>
                <w:sz w:val="21"/>
                <w:szCs w:val="21"/>
                <w:highlight w:val="none"/>
                <w:lang w:val="zh-CN" w:bidi="ar"/>
              </w:rPr>
              <w:t xml:space="preserve">项要求最多得</w:t>
            </w:r>
            <w:r>
              <w:rPr>
                <w:rFonts w:hint="eastAsia" w:ascii="仿宋" w:hAnsi="仿宋" w:eastAsia="仿宋" w:cs="仿宋"/>
                <w:color w:val="auto"/>
                <w:sz w:val="21"/>
                <w:szCs w:val="21"/>
                <w:highlight w:val="none"/>
                <w:lang w:val="en-US" w:eastAsia="zh-CN" w:bidi="ar"/>
              </w:rPr>
              <w:t xml:space="preserve">3</w:t>
            </w:r>
            <w:r>
              <w:rPr>
                <w:rFonts w:hint="eastAsia" w:ascii="仿宋" w:hAnsi="仿宋" w:eastAsia="仿宋" w:cs="仿宋"/>
                <w:color w:val="auto"/>
                <w:sz w:val="21"/>
                <w:szCs w:val="21"/>
                <w:highlight w:val="none"/>
                <w:lang w:val="zh-CN" w:bidi="ar"/>
              </w:rPr>
              <w:t xml:space="preserve">分；满足任意</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项</w:t>
            </w:r>
            <w:r>
              <w:rPr>
                <w:rFonts w:hint="eastAsia" w:ascii="仿宋" w:hAnsi="仿宋" w:eastAsia="仿宋" w:cs="仿宋"/>
                <w:color w:val="auto"/>
                <w:sz w:val="21"/>
                <w:szCs w:val="21"/>
                <w:highlight w:val="none"/>
                <w:lang w:val="en-US" w:eastAsia="zh-CN" w:bidi="ar"/>
              </w:rPr>
              <w:t xml:space="preserve">要求最多</w:t>
            </w:r>
            <w:r>
              <w:rPr>
                <w:rFonts w:hint="eastAsia" w:ascii="仿宋" w:hAnsi="仿宋" w:eastAsia="仿宋" w:cs="仿宋"/>
                <w:color w:val="auto"/>
                <w:sz w:val="21"/>
                <w:szCs w:val="21"/>
                <w:highlight w:val="none"/>
                <w:lang w:val="zh-CN" w:bidi="ar"/>
              </w:rPr>
              <w:t xml:space="preserve">得</w:t>
            </w:r>
            <w:r>
              <w:rPr>
                <w:rFonts w:hint="eastAsia" w:ascii="仿宋" w:hAnsi="仿宋" w:eastAsia="仿宋" w:cs="仿宋"/>
                <w:color w:val="auto"/>
                <w:sz w:val="21"/>
                <w:szCs w:val="21"/>
                <w:highlight w:val="none"/>
                <w:lang w:val="en-US" w:eastAsia="zh-CN" w:bidi="ar"/>
              </w:rPr>
              <w:t xml:space="preserve">1.5</w:t>
            </w:r>
            <w:r>
              <w:rPr>
                <w:rFonts w:hint="eastAsia" w:ascii="仿宋" w:hAnsi="仿宋" w:eastAsia="仿宋" w:cs="仿宋"/>
                <w:color w:val="auto"/>
                <w:sz w:val="21"/>
                <w:szCs w:val="21"/>
                <w:highlight w:val="none"/>
                <w:lang w:val="zh-CN" w:bidi="ar"/>
              </w:rPr>
              <w:t xml:space="preserve">分；其余情况不得分。</w:t>
            </w:r>
            <w:r/>
          </w:p>
          <w:p>
            <w:pPr>
              <w:ind w:firstLine="422"/>
              <w:jc w:val="left"/>
              <w:keepLines w:val="0"/>
              <w:keepNext w:val="0"/>
              <w:pageBreakBefore w:val="0"/>
              <w:spacing w:line="240" w:lineRule="exact"/>
              <w:widowControl/>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 xml:space="preserve">注：评审委员会根据各</w:t>
            </w:r>
            <w:r>
              <w:rPr>
                <w:rFonts w:hint="eastAsia" w:ascii="仿宋" w:hAnsi="仿宋" w:eastAsia="仿宋" w:cs="仿宋"/>
                <w:b/>
                <w:bCs/>
                <w:color w:val="auto"/>
                <w:sz w:val="21"/>
                <w:szCs w:val="21"/>
                <w:highlight w:val="none"/>
                <w:lang w:val="en-US" w:eastAsia="zh-CN" w:bidi="ar"/>
              </w:rPr>
              <w:t xml:space="preserve">投标人</w:t>
            </w:r>
            <w:r>
              <w:rPr>
                <w:rFonts w:hint="eastAsia" w:ascii="仿宋" w:hAnsi="仿宋" w:eastAsia="仿宋" w:cs="仿宋"/>
                <w:b/>
                <w:bCs/>
                <w:color w:val="auto"/>
                <w:sz w:val="21"/>
                <w:szCs w:val="21"/>
                <w:highlight w:val="non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 xml:space="preserve">评审</w:t>
            </w:r>
            <w:r>
              <w:rPr>
                <w:rFonts w:hint="eastAsia" w:ascii="仿宋" w:hAnsi="仿宋" w:eastAsia="仿宋" w:cs="仿宋"/>
                <w:b/>
                <w:bCs/>
                <w:color w:val="auto"/>
                <w:sz w:val="21"/>
                <w:szCs w:val="21"/>
                <w:highlight w:val="none"/>
                <w:lang w:val="zh-CN" w:bidi="ar"/>
              </w:rPr>
              <w:t xml:space="preserve">：</w:t>
            </w: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图纸完整，方案合理且规范，完全符合现场实际情况的得</w:t>
            </w:r>
            <w:r>
              <w:rPr>
                <w:rFonts w:hint="eastAsia" w:ascii="仿宋" w:hAnsi="仿宋" w:eastAsia="仿宋" w:cs="仿宋"/>
                <w:color w:val="auto"/>
                <w:sz w:val="21"/>
                <w:szCs w:val="21"/>
                <w:highlight w:val="none"/>
                <w:lang w:val="en-US" w:eastAsia="zh-CN"/>
              </w:rPr>
              <w:t xml:space="preserve">1.5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图纸较完整，方案较合理且规范，较能符合现场实际情况的得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图纸基本完整，方案基本合理目规范、美观，基本符合现场实际情况的得</w:t>
            </w:r>
            <w:r>
              <w:rPr>
                <w:rFonts w:hint="eastAsia" w:ascii="仿宋" w:hAnsi="仿宋" w:eastAsia="仿宋" w:cs="仿宋"/>
                <w:color w:val="auto"/>
                <w:sz w:val="21"/>
                <w:szCs w:val="21"/>
                <w:highlight w:val="none"/>
                <w:lang w:val="en-US" w:eastAsia="zh-CN"/>
              </w:rPr>
              <w:t xml:space="preserve">0.5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图纸不完整，方案不合理规范、不美观，设计存在缺陷不能符合现场实际情况或未提供的不得分。</w:t>
            </w:r>
            <w:r/>
          </w:p>
          <w:p>
            <w:pPr>
              <w:ind w:firstLine="420"/>
              <w:jc w:val="left"/>
              <w:keepLines w:val="0"/>
              <w:keepNext w:val="0"/>
              <w:pageBreakBefore w:val="0"/>
              <w:spacing w:line="240" w:lineRule="exact"/>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color w:val="auto"/>
                <w:sz w:val="21"/>
                <w:szCs w:val="21"/>
                <w:highlight w:val="none"/>
              </w:rPr>
              <w:t xml:space="preserve">☆注：最终需按照提供的专项设计方案</w:t>
            </w:r>
            <w:r>
              <w:rPr>
                <w:rFonts w:hint="eastAsia" w:ascii="仿宋" w:hAnsi="仿宋" w:eastAsia="仿宋" w:cs="仿宋"/>
                <w:color w:val="auto"/>
                <w:sz w:val="21"/>
                <w:szCs w:val="21"/>
                <w:highlight w:val="none"/>
                <w:lang w:val="en-US" w:eastAsia="zh-CN"/>
              </w:rPr>
              <w:t xml:space="preserve">优化实施</w:t>
            </w:r>
            <w:r>
              <w:rPr>
                <w:rFonts w:hint="eastAsia" w:ascii="仿宋" w:hAnsi="仿宋" w:eastAsia="仿宋" w:cs="仿宋"/>
                <w:color w:val="auto"/>
                <w:sz w:val="21"/>
                <w:szCs w:val="21"/>
                <w:highlight w:val="none"/>
              </w:rPr>
              <w:t xml:space="preserve">。</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售后服务及培训方案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widowControl/>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评审委员会根据</w:t>
            </w:r>
            <w:r>
              <w:rPr>
                <w:rFonts w:hint="eastAsia" w:ascii="仿宋" w:hAnsi="仿宋" w:eastAsia="仿宋" w:cs="仿宋"/>
                <w:color w:val="auto"/>
                <w:sz w:val="21"/>
                <w:szCs w:val="21"/>
                <w:highlight w:val="none"/>
                <w:lang w:val="zh-CN" w:bidi="ar"/>
              </w:rPr>
              <w:t xml:space="preserve">投标人提供的</w:t>
            </w:r>
            <w:r>
              <w:rPr>
                <w:rFonts w:hint="eastAsia" w:ascii="仿宋" w:hAnsi="仿宋" w:eastAsia="仿宋" w:cs="仿宋"/>
                <w:color w:val="auto"/>
                <w:sz w:val="21"/>
                <w:szCs w:val="21"/>
                <w:highlight w:val="none"/>
                <w:lang w:val="en-US" w:eastAsia="zh-CN" w:bidi="ar"/>
              </w:rPr>
              <w:t xml:space="preserve">售后服务方案</w:t>
            </w:r>
            <w:r>
              <w:rPr>
                <w:rFonts w:hint="eastAsia" w:ascii="仿宋" w:hAnsi="仿宋" w:eastAsia="仿宋" w:cs="仿宋"/>
                <w:color w:val="auto"/>
                <w:sz w:val="21"/>
                <w:szCs w:val="21"/>
                <w:highlight w:val="none"/>
                <w:lang w:val="zh-CN" w:bidi="ar"/>
              </w:rPr>
              <w:t xml:space="preserve">包含但不限于</w:t>
            </w:r>
            <w:r>
              <w:rPr>
                <w:rFonts w:hint="eastAsia" w:ascii="仿宋" w:hAnsi="仿宋" w:eastAsia="仿宋" w:cs="仿宋"/>
                <w:b w:val="0"/>
                <w:bCs w:val="0"/>
                <w:color w:val="auto"/>
                <w:sz w:val="21"/>
                <w:szCs w:val="21"/>
                <w:highlight w:val="none"/>
                <w:lang w:val="zh-CN" w:bidi="ar"/>
              </w:rPr>
              <w:t xml:space="preserve">①故障</w:t>
            </w:r>
            <w:r>
              <w:rPr>
                <w:rFonts w:hint="eastAsia" w:ascii="仿宋" w:hAnsi="仿宋" w:eastAsia="仿宋" w:cs="仿宋"/>
                <w:b w:val="0"/>
                <w:bCs w:val="0"/>
                <w:color w:val="auto"/>
                <w:sz w:val="21"/>
                <w:szCs w:val="21"/>
                <w:highlight w:val="none"/>
                <w:lang w:val="zh-CN" w:eastAsia="zh-CN" w:bidi="ar"/>
              </w:rPr>
              <w:t xml:space="preserve">处理保障措施（维修及响应时间）；②备</w:t>
            </w:r>
            <w:r>
              <w:rPr>
                <w:rFonts w:hint="eastAsia" w:ascii="仿宋" w:hAnsi="仿宋" w:eastAsia="仿宋" w:cs="仿宋"/>
                <w:b w:val="0"/>
                <w:bCs w:val="0"/>
                <w:color w:val="auto"/>
                <w:sz w:val="21"/>
                <w:szCs w:val="21"/>
                <w:highlight w:val="none"/>
                <w:lang w:val="en-US" w:eastAsia="zh-CN" w:bidi="ar"/>
              </w:rPr>
              <w:t xml:space="preserve">品</w:t>
            </w:r>
            <w:r>
              <w:rPr>
                <w:rFonts w:hint="eastAsia" w:ascii="仿宋" w:hAnsi="仿宋" w:eastAsia="仿宋" w:cs="仿宋"/>
                <w:b w:val="0"/>
                <w:bCs w:val="0"/>
                <w:color w:val="auto"/>
                <w:sz w:val="21"/>
                <w:szCs w:val="21"/>
                <w:highlight w:val="none"/>
                <w:lang w:val="zh-CN" w:eastAsia="zh-CN" w:bidi="ar"/>
              </w:rPr>
              <w:t xml:space="preserve">备件情况（</w:t>
            </w:r>
            <w:r>
              <w:rPr>
                <w:rFonts w:hint="eastAsia" w:ascii="仿宋" w:hAnsi="仿宋" w:eastAsia="仿宋" w:cs="仿宋"/>
                <w:b w:val="0"/>
                <w:bCs w:val="0"/>
                <w:color w:val="auto"/>
                <w:sz w:val="21"/>
                <w:szCs w:val="21"/>
                <w:highlight w:val="none"/>
                <w:lang w:val="en-US" w:eastAsia="zh-CN" w:bidi="ar"/>
              </w:rPr>
              <w:t xml:space="preserve">易损件的备品备件清单、</w:t>
            </w:r>
            <w:r>
              <w:rPr>
                <w:rFonts w:hint="eastAsia" w:ascii="仿宋" w:hAnsi="仿宋" w:eastAsia="仿宋" w:cs="仿宋"/>
                <w:b w:val="0"/>
                <w:bCs w:val="0"/>
                <w:color w:val="auto"/>
                <w:sz w:val="21"/>
                <w:szCs w:val="21"/>
                <w:highlight w:val="none"/>
                <w:lang w:val="zh-CN" w:eastAsia="zh-CN" w:bidi="ar"/>
              </w:rPr>
              <w:t xml:space="preserve">质保期后的配件及耗材优惠</w:t>
            </w:r>
            <w:r>
              <w:rPr>
                <w:rFonts w:hint="eastAsia" w:ascii="仿宋" w:hAnsi="仿宋" w:eastAsia="仿宋" w:cs="仿宋"/>
                <w:b w:val="0"/>
                <w:bCs w:val="0"/>
                <w:color w:val="auto"/>
                <w:sz w:val="21"/>
                <w:szCs w:val="21"/>
                <w:highlight w:val="none"/>
                <w:lang w:val="en-US" w:eastAsia="zh-CN" w:bidi="ar"/>
              </w:rPr>
              <w:t xml:space="preserve">政策</w:t>
            </w:r>
            <w:r>
              <w:rPr>
                <w:rFonts w:hint="eastAsia" w:ascii="仿宋" w:hAnsi="仿宋" w:eastAsia="仿宋" w:cs="仿宋"/>
                <w:b w:val="0"/>
                <w:bCs w:val="0"/>
                <w:color w:val="auto"/>
                <w:sz w:val="21"/>
                <w:szCs w:val="21"/>
                <w:highlight w:val="none"/>
                <w:lang w:val="zh-CN" w:eastAsia="zh-CN" w:bidi="ar"/>
              </w:rPr>
              <w:t xml:space="preserve">）；③</w:t>
            </w:r>
            <w:r>
              <w:rPr>
                <w:rFonts w:hint="eastAsia" w:ascii="仿宋" w:hAnsi="仿宋" w:eastAsia="仿宋" w:cs="仿宋"/>
                <w:b w:val="0"/>
                <w:bCs w:val="0"/>
                <w:color w:val="auto"/>
                <w:sz w:val="21"/>
                <w:szCs w:val="21"/>
                <w:highlight w:val="none"/>
                <w:lang w:val="en-US" w:eastAsia="zh-CN" w:bidi="ar"/>
              </w:rPr>
              <w:t xml:space="preserve">售后服务人员配置；④售后服务及运维期内、外保障措施等方面进行综合评审；⑤培训师资力量、培训计划及内容。</w:t>
            </w:r>
            <w:r/>
          </w:p>
          <w:p>
            <w:pPr>
              <w:ind w:firstLine="422"/>
              <w:jc w:val="left"/>
              <w:keepLines w:val="0"/>
              <w:keepNext w:val="0"/>
              <w:pageBreakBefore w:val="0"/>
              <w:spacing w:line="240" w:lineRule="exact"/>
              <w:widowControl/>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zh-CN" w:bidi="ar"/>
              </w:rPr>
              <w:t xml:space="preserve">满足以上</w:t>
            </w:r>
            <w:r>
              <w:rPr>
                <w:rFonts w:hint="eastAsia" w:ascii="仿宋" w:hAnsi="仿宋" w:eastAsia="仿宋" w:cs="仿宋"/>
                <w:b w:val="0"/>
                <w:bCs w:val="0"/>
                <w:color w:val="auto"/>
                <w:sz w:val="21"/>
                <w:szCs w:val="21"/>
                <w:highlight w:val="none"/>
                <w:lang w:val="en-US" w:eastAsia="zh-CN" w:bidi="ar"/>
              </w:rPr>
              <w:t xml:space="preserve">5</w:t>
            </w:r>
            <w:r>
              <w:rPr>
                <w:rFonts w:hint="eastAsia" w:ascii="仿宋" w:hAnsi="仿宋" w:eastAsia="仿宋" w:cs="仿宋"/>
                <w:b w:val="0"/>
                <w:bCs w:val="0"/>
                <w:color w:val="auto"/>
                <w:sz w:val="21"/>
                <w:szCs w:val="21"/>
                <w:highlight w:val="none"/>
                <w:lang w:val="zh-CN" w:bidi="ar"/>
              </w:rPr>
              <w:t xml:space="preserve">项要求最多得</w:t>
            </w:r>
            <w:r>
              <w:rPr>
                <w:rFonts w:hint="eastAsia" w:ascii="仿宋" w:hAnsi="仿宋" w:eastAsia="仿宋" w:cs="仿宋"/>
                <w:b w:val="0"/>
                <w:bCs w:val="0"/>
                <w:color w:val="auto"/>
                <w:sz w:val="21"/>
                <w:szCs w:val="21"/>
                <w:highlight w:val="none"/>
                <w:lang w:val="en-US" w:eastAsia="zh-CN" w:bidi="ar"/>
              </w:rPr>
              <w:t xml:space="preserve">5</w:t>
            </w:r>
            <w:r>
              <w:rPr>
                <w:rFonts w:hint="eastAsia" w:ascii="仿宋" w:hAnsi="仿宋" w:eastAsia="仿宋" w:cs="仿宋"/>
                <w:b w:val="0"/>
                <w:bCs w:val="0"/>
                <w:color w:val="auto"/>
                <w:sz w:val="21"/>
                <w:szCs w:val="21"/>
                <w:highlight w:val="none"/>
                <w:lang w:val="zh-CN" w:bidi="ar"/>
              </w:rPr>
              <w:t xml:space="preserve">分；满足任意</w:t>
            </w:r>
            <w:r>
              <w:rPr>
                <w:rFonts w:hint="eastAsia" w:ascii="仿宋" w:hAnsi="仿宋" w:eastAsia="仿宋" w:cs="仿宋"/>
                <w:b w:val="0"/>
                <w:bCs w:val="0"/>
                <w:color w:val="auto"/>
                <w:sz w:val="21"/>
                <w:szCs w:val="21"/>
                <w:highlight w:val="none"/>
                <w:lang w:val="en-US" w:eastAsia="zh-CN" w:bidi="ar"/>
              </w:rPr>
              <w:t xml:space="preserve">1</w:t>
            </w:r>
            <w:r>
              <w:rPr>
                <w:rFonts w:hint="eastAsia" w:ascii="仿宋" w:hAnsi="仿宋" w:eastAsia="仿宋" w:cs="仿宋"/>
                <w:b w:val="0"/>
                <w:bCs w:val="0"/>
                <w:color w:val="auto"/>
                <w:sz w:val="21"/>
                <w:szCs w:val="21"/>
                <w:highlight w:val="none"/>
                <w:lang w:val="zh-CN" w:bidi="ar"/>
              </w:rPr>
              <w:t xml:space="preserve">项</w:t>
            </w:r>
            <w:r>
              <w:rPr>
                <w:rFonts w:hint="eastAsia" w:ascii="仿宋" w:hAnsi="仿宋" w:eastAsia="仿宋" w:cs="仿宋"/>
                <w:b w:val="0"/>
                <w:bCs w:val="0"/>
                <w:color w:val="auto"/>
                <w:sz w:val="21"/>
                <w:szCs w:val="21"/>
                <w:highlight w:val="none"/>
                <w:lang w:val="en-US" w:eastAsia="zh-CN" w:bidi="ar"/>
              </w:rPr>
              <w:t xml:space="preserve">要求最多</w:t>
            </w:r>
            <w:r>
              <w:rPr>
                <w:rFonts w:hint="eastAsia" w:ascii="仿宋" w:hAnsi="仿宋" w:eastAsia="仿宋" w:cs="仿宋"/>
                <w:b w:val="0"/>
                <w:bCs w:val="0"/>
                <w:color w:val="auto"/>
                <w:sz w:val="21"/>
                <w:szCs w:val="21"/>
                <w:highlight w:val="none"/>
                <w:lang w:val="zh-CN" w:bidi="ar"/>
              </w:rPr>
              <w:t xml:space="preserve">得</w:t>
            </w:r>
            <w:r>
              <w:rPr>
                <w:rFonts w:hint="eastAsia" w:ascii="仿宋" w:hAnsi="仿宋" w:eastAsia="仿宋" w:cs="仿宋"/>
                <w:b w:val="0"/>
                <w:bCs w:val="0"/>
                <w:color w:val="auto"/>
                <w:sz w:val="21"/>
                <w:szCs w:val="21"/>
                <w:highlight w:val="none"/>
                <w:lang w:val="en-US" w:eastAsia="zh-CN" w:bidi="ar"/>
              </w:rPr>
              <w:t xml:space="preserve">1</w:t>
            </w:r>
            <w:r>
              <w:rPr>
                <w:rFonts w:hint="eastAsia" w:ascii="仿宋" w:hAnsi="仿宋" w:eastAsia="仿宋" w:cs="仿宋"/>
                <w:b w:val="0"/>
                <w:bCs w:val="0"/>
                <w:color w:val="auto"/>
                <w:sz w:val="21"/>
                <w:szCs w:val="21"/>
                <w:highlight w:val="none"/>
                <w:lang w:val="zh-CN" w:bidi="ar"/>
              </w:rPr>
              <w:t xml:space="preserve">分；其余情况不得分。</w:t>
            </w:r>
            <w:r/>
          </w:p>
          <w:p>
            <w:pPr>
              <w:ind w:firstLine="422"/>
              <w:jc w:val="left"/>
              <w:keepLines w:val="0"/>
              <w:keepNext w:val="0"/>
              <w:pageBreakBefore w:val="0"/>
              <w:spacing w:line="240" w:lineRule="exact"/>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bidi="ar"/>
              </w:rPr>
              <w:t xml:space="preserve">注：评审委员会根据各</w:t>
            </w:r>
            <w:r>
              <w:rPr>
                <w:rFonts w:hint="eastAsia" w:ascii="仿宋" w:hAnsi="仿宋" w:eastAsia="仿宋" w:cs="仿宋"/>
                <w:b/>
                <w:bCs/>
                <w:color w:val="auto"/>
                <w:sz w:val="21"/>
                <w:szCs w:val="21"/>
                <w:highlight w:val="none"/>
                <w:lang w:val="en-US" w:eastAsia="zh-CN" w:bidi="ar"/>
              </w:rPr>
              <w:t xml:space="preserve">投标人</w:t>
            </w:r>
            <w:r>
              <w:rPr>
                <w:rFonts w:hint="eastAsia" w:ascii="仿宋" w:hAnsi="仿宋" w:eastAsia="仿宋" w:cs="仿宋"/>
                <w:b/>
                <w:bCs/>
                <w:color w:val="auto"/>
                <w:sz w:val="21"/>
                <w:szCs w:val="21"/>
                <w:highlight w:val="non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 xml:space="preserve">评审</w:t>
            </w:r>
            <w:r>
              <w:rPr>
                <w:rFonts w:hint="eastAsia" w:ascii="仿宋" w:hAnsi="仿宋" w:eastAsia="仿宋" w:cs="仿宋"/>
                <w:b/>
                <w:bCs/>
                <w:color w:val="auto"/>
                <w:sz w:val="21"/>
                <w:szCs w:val="21"/>
                <w:highlight w:val="none"/>
                <w:lang w:val="zh-CN" w:bidi="ar"/>
              </w:rPr>
              <w:t xml:space="preserve">：</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分；</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w:t>
            </w:r>
            <w:r>
              <w:rPr>
                <w:rFonts w:hint="eastAsia" w:ascii="仿宋" w:hAnsi="仿宋" w:eastAsia="仿宋" w:cs="仿宋"/>
                <w:color w:val="auto"/>
                <w:sz w:val="21"/>
                <w:szCs w:val="21"/>
                <w:highlight w:val="none"/>
                <w:lang w:val="zh-CN" w:bidi="ar"/>
              </w:rPr>
              <w:t xml:space="preserve">对项目有一定的认识，方案较为完整，思路基本清晰，基本符合项目需求该项得</w:t>
            </w:r>
            <w:r>
              <w:rPr>
                <w:rFonts w:hint="eastAsia" w:ascii="仿宋" w:hAnsi="仿宋" w:eastAsia="仿宋" w:cs="仿宋"/>
                <w:color w:val="auto"/>
                <w:sz w:val="21"/>
                <w:szCs w:val="21"/>
                <w:highlight w:val="none"/>
                <w:lang w:val="en-US" w:eastAsia="zh-CN" w:bidi="ar"/>
              </w:rPr>
              <w:t xml:space="preserve">0.7</w:t>
            </w:r>
            <w:r>
              <w:rPr>
                <w:rFonts w:hint="eastAsia" w:ascii="仿宋" w:hAnsi="仿宋" w:eastAsia="仿宋" w:cs="仿宋"/>
                <w:color w:val="auto"/>
                <w:sz w:val="21"/>
                <w:szCs w:val="21"/>
                <w:highlight w:val="none"/>
                <w:lang w:val="zh-CN" w:bidi="ar"/>
              </w:rPr>
              <w:t xml:space="preserve">分；</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w:t>
            </w:r>
            <w:r>
              <w:rPr>
                <w:rFonts w:hint="eastAsia" w:ascii="仿宋" w:hAnsi="仿宋" w:eastAsia="仿宋" w:cs="仿宋"/>
                <w:color w:val="auto"/>
                <w:sz w:val="21"/>
                <w:szCs w:val="21"/>
                <w:highlight w:val="none"/>
                <w:lang w:val="zh-CN" w:bidi="ar"/>
              </w:rPr>
              <w:t xml:space="preserve">方案</w:t>
            </w:r>
            <w:r>
              <w:rPr>
                <w:rFonts w:hint="eastAsia" w:ascii="仿宋" w:hAnsi="仿宋" w:eastAsia="仿宋" w:cs="仿宋"/>
                <w:color w:val="auto"/>
                <w:sz w:val="21"/>
                <w:szCs w:val="21"/>
                <w:highlight w:val="none"/>
                <w:lang w:val="en-US" w:eastAsia="zh-CN" w:bidi="ar"/>
              </w:rPr>
              <w:t xml:space="preserve">内容</w:t>
            </w:r>
            <w:r>
              <w:rPr>
                <w:rFonts w:hint="eastAsia" w:ascii="仿宋" w:hAnsi="仿宋" w:eastAsia="仿宋" w:cs="仿宋"/>
                <w:color w:val="auto"/>
                <w:sz w:val="21"/>
                <w:szCs w:val="21"/>
                <w:highlight w:val="none"/>
                <w:lang w:val="zh-CN" w:bidi="ar"/>
              </w:rPr>
              <w:t xml:space="preserve">欠</w:t>
            </w:r>
            <w:r>
              <w:rPr>
                <w:rFonts w:hint="eastAsia" w:ascii="仿宋" w:hAnsi="仿宋" w:eastAsia="仿宋" w:cs="仿宋"/>
                <w:color w:val="auto"/>
                <w:sz w:val="21"/>
                <w:szCs w:val="21"/>
                <w:highlight w:val="none"/>
                <w:lang w:val="en-US" w:eastAsia="zh-CN" w:bidi="ar"/>
              </w:rPr>
              <w:t xml:space="preserve">缺</w:t>
            </w:r>
            <w:r>
              <w:rPr>
                <w:rFonts w:hint="eastAsia" w:ascii="仿宋" w:hAnsi="仿宋" w:eastAsia="仿宋" w:cs="仿宋"/>
                <w:color w:val="auto"/>
                <w:sz w:val="21"/>
                <w:szCs w:val="21"/>
                <w:highlight w:val="none"/>
                <w:lang w:val="zh-CN" w:bidi="ar"/>
              </w:rPr>
              <w:t xml:space="preserve">，与项目需求响应度低，项目理解思路</w:t>
            </w:r>
            <w:r>
              <w:rPr>
                <w:rFonts w:hint="eastAsia" w:ascii="仿宋" w:hAnsi="仿宋" w:eastAsia="仿宋" w:cs="仿宋"/>
                <w:color w:val="auto"/>
                <w:sz w:val="21"/>
                <w:szCs w:val="21"/>
                <w:highlight w:val="none"/>
                <w:lang w:val="en-US" w:eastAsia="zh-CN" w:bidi="ar"/>
              </w:rPr>
              <w:t xml:space="preserve">不够清晰</w:t>
            </w:r>
            <w:r>
              <w:rPr>
                <w:rFonts w:hint="eastAsia" w:ascii="仿宋" w:hAnsi="仿宋" w:eastAsia="仿宋" w:cs="仿宋"/>
                <w:color w:val="auto"/>
                <w:sz w:val="21"/>
                <w:szCs w:val="21"/>
                <w:highlight w:val="none"/>
                <w:lang w:val="zh-CN" w:bidi="ar"/>
              </w:rPr>
              <w:t xml:space="preserve">该项得</w:t>
            </w:r>
            <w:r>
              <w:rPr>
                <w:rFonts w:hint="eastAsia" w:ascii="仿宋" w:hAnsi="仿宋" w:eastAsia="仿宋" w:cs="仿宋"/>
                <w:color w:val="auto"/>
                <w:sz w:val="21"/>
                <w:szCs w:val="21"/>
                <w:highlight w:val="none"/>
                <w:lang w:val="en-US" w:eastAsia="zh-CN" w:bidi="ar"/>
              </w:rPr>
              <w:t xml:space="preserve">0.4</w:t>
            </w:r>
            <w:r>
              <w:rPr>
                <w:rFonts w:hint="eastAsia" w:ascii="仿宋" w:hAnsi="仿宋" w:eastAsia="仿宋" w:cs="仿宋"/>
                <w:color w:val="auto"/>
                <w:sz w:val="21"/>
                <w:szCs w:val="21"/>
                <w:highlight w:val="none"/>
                <w:lang w:val="zh-CN" w:bidi="ar"/>
              </w:rPr>
              <w:t xml:space="preserve">分。</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④</w:t>
            </w:r>
            <w:r>
              <w:rPr>
                <w:rFonts w:hint="eastAsia" w:ascii="仿宋" w:hAnsi="仿宋" w:eastAsia="仿宋" w:cs="仿宋"/>
                <w:color w:val="auto"/>
                <w:sz w:val="21"/>
                <w:szCs w:val="21"/>
                <w:highlight w:val="none"/>
              </w:rPr>
              <w:t xml:space="preserve">未提供方案或提供的方案不符合项目要求的得0分。</w:t>
            </w:r>
            <w:r/>
          </w:p>
        </w:tc>
      </w:tr>
      <w:tr>
        <w:trPr>
          <w:jc w:val="center"/>
          <w:trHeight w:val="1680"/>
        </w:trPr>
        <w:tc>
          <w:tcPr>
            <w:tcBorders>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商务部分</w:t>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业绩</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2</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投标人自2022年1月1日以来</w:t>
            </w:r>
            <w:r>
              <w:rPr>
                <w:rFonts w:hint="eastAsia" w:ascii="仿宋" w:hAnsi="仿宋" w:eastAsia="仿宋" w:cs="仿宋"/>
                <w:b w:val="0"/>
                <w:bCs w:val="0"/>
                <w:color w:val="auto"/>
                <w:sz w:val="21"/>
                <w:szCs w:val="21"/>
                <w:highlight w:val="none"/>
              </w:rPr>
              <w:t xml:space="preserve">（以合同签订日期为准）投标人承担过类似项目</w:t>
            </w:r>
            <w:r>
              <w:rPr>
                <w:rFonts w:hint="eastAsia" w:ascii="仿宋" w:hAnsi="仿宋" w:eastAsia="仿宋" w:cs="仿宋"/>
                <w:b w:val="0"/>
                <w:bCs w:val="0"/>
                <w:color w:val="auto"/>
                <w:sz w:val="21"/>
                <w:szCs w:val="21"/>
                <w:highlight w:val="none"/>
                <w:lang w:eastAsia="zh-CN"/>
              </w:rPr>
              <w:t xml:space="preserve">的</w:t>
            </w:r>
            <w:r>
              <w:rPr>
                <w:rFonts w:hint="eastAsia" w:ascii="仿宋" w:hAnsi="仿宋" w:eastAsia="仿宋" w:cs="仿宋"/>
                <w:b w:val="0"/>
                <w:bCs w:val="0"/>
                <w:color w:val="auto"/>
                <w:sz w:val="21"/>
                <w:szCs w:val="21"/>
                <w:highlight w:val="none"/>
                <w:lang w:val="en-US" w:eastAsia="zh-CN"/>
              </w:rPr>
              <w:t xml:space="preserve">成功案例</w:t>
            </w:r>
            <w:r>
              <w:rPr>
                <w:rFonts w:hint="eastAsia" w:ascii="仿宋" w:hAnsi="仿宋" w:eastAsia="仿宋" w:cs="仿宋"/>
                <w:b w:val="0"/>
                <w:bCs w:val="0"/>
                <w:color w:val="auto"/>
                <w:sz w:val="21"/>
                <w:szCs w:val="21"/>
                <w:highlight w:val="none"/>
                <w:lang w:eastAsia="zh-CN"/>
              </w:rPr>
              <w:t xml:space="preserve">，每提供1份有效</w:t>
            </w:r>
            <w:r>
              <w:rPr>
                <w:rFonts w:hint="eastAsia" w:ascii="仿宋" w:hAnsi="仿宋" w:eastAsia="仿宋" w:cs="仿宋"/>
                <w:b w:val="0"/>
                <w:bCs w:val="0"/>
                <w:color w:val="auto"/>
                <w:sz w:val="21"/>
                <w:szCs w:val="21"/>
                <w:highlight w:val="none"/>
                <w:lang w:val="en-US" w:eastAsia="zh-CN"/>
              </w:rPr>
              <w:t xml:space="preserve">业绩</w:t>
            </w:r>
            <w:r>
              <w:rPr>
                <w:rFonts w:hint="eastAsia" w:ascii="仿宋" w:hAnsi="仿宋" w:eastAsia="仿宋" w:cs="仿宋"/>
                <w:b w:val="0"/>
                <w:bCs w:val="0"/>
                <w:color w:val="auto"/>
                <w:sz w:val="21"/>
                <w:szCs w:val="21"/>
                <w:highlight w:val="none"/>
                <w:lang w:eastAsia="zh-CN"/>
              </w:rPr>
              <w:t xml:space="preserve">得</w:t>
            </w:r>
            <w:r>
              <w:rPr>
                <w:rFonts w:hint="eastAsia" w:ascii="仿宋" w:hAnsi="仿宋" w:eastAsia="仿宋" w:cs="仿宋"/>
                <w:b w:val="0"/>
                <w:bCs w:val="0"/>
                <w:color w:val="auto"/>
                <w:sz w:val="21"/>
                <w:szCs w:val="21"/>
                <w:highlight w:val="none"/>
                <w:lang w:val="en-US" w:eastAsia="zh-CN"/>
              </w:rPr>
              <w:t xml:space="preserve">1</w:t>
            </w:r>
            <w:r>
              <w:rPr>
                <w:rFonts w:hint="eastAsia" w:ascii="仿宋" w:hAnsi="仿宋" w:eastAsia="仿宋" w:cs="仿宋"/>
                <w:b w:val="0"/>
                <w:bCs w:val="0"/>
                <w:color w:val="auto"/>
                <w:sz w:val="21"/>
                <w:szCs w:val="21"/>
                <w:highlight w:val="none"/>
                <w:lang w:eastAsia="zh-CN"/>
              </w:rPr>
              <w:t xml:space="preserve">分，本项最多得</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lang w:eastAsia="zh-CN"/>
              </w:rPr>
              <w:t xml:space="preserve">分。</w:t>
            </w:r>
            <w:r/>
          </w:p>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注：①本项需自行拟制业绩汇总表；</w:t>
            </w:r>
            <w:r/>
          </w:p>
          <w:p>
            <w:pPr>
              <w:ind w:firstLine="840"/>
              <w:jc w:val="left"/>
              <w:keepLines w:val="0"/>
              <w:keepNext w:val="0"/>
              <w:pageBreakBefore w:val="0"/>
              <w:spacing w:line="24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z w:val="21"/>
                <w:szCs w:val="21"/>
                <w:highlight w:val="none"/>
              </w:rPr>
              <w:t xml:space="preserve">②投标文件中须同时提供合同及</w:t>
            </w:r>
            <w:r>
              <w:rPr>
                <w:rFonts w:hint="eastAsia" w:ascii="仿宋" w:hAnsi="仿宋" w:eastAsia="仿宋" w:cs="仿宋"/>
                <w:b w:val="0"/>
                <w:bCs w:val="0"/>
                <w:color w:val="auto"/>
                <w:sz w:val="21"/>
                <w:szCs w:val="21"/>
                <w:highlight w:val="none"/>
                <w:lang w:val="en-US" w:eastAsia="zh-CN"/>
              </w:rPr>
              <w:t xml:space="preserve">相关</w:t>
            </w:r>
            <w:r>
              <w:rPr>
                <w:rFonts w:hint="eastAsia" w:ascii="仿宋" w:hAnsi="仿宋" w:eastAsia="仿宋" w:cs="仿宋"/>
                <w:b w:val="0"/>
                <w:bCs w:val="0"/>
                <w:color w:val="auto"/>
                <w:sz w:val="21"/>
                <w:szCs w:val="21"/>
                <w:highlight w:val="none"/>
              </w:rPr>
              <w:t xml:space="preserve">验收证明</w:t>
            </w:r>
            <w:r>
              <w:rPr>
                <w:rFonts w:hint="eastAsia" w:ascii="仿宋" w:hAnsi="仿宋" w:eastAsia="仿宋" w:cs="仿宋"/>
                <w:b w:val="0"/>
                <w:bCs w:val="0"/>
                <w:color w:val="auto"/>
                <w:sz w:val="21"/>
                <w:szCs w:val="21"/>
                <w:highlight w:val="none"/>
                <w:lang w:val="en-US" w:eastAsia="zh-CN"/>
              </w:rPr>
              <w:t xml:space="preserve">扫描件</w:t>
            </w:r>
            <w:r>
              <w:rPr>
                <w:rFonts w:hint="eastAsia" w:ascii="仿宋" w:hAnsi="仿宋" w:eastAsia="仿宋" w:cs="仿宋"/>
                <w:b w:val="0"/>
                <w:bCs w:val="0"/>
                <w:color w:val="auto"/>
                <w:sz w:val="21"/>
                <w:szCs w:val="21"/>
                <w:highlight w:val="none"/>
              </w:rPr>
              <w:t xml:space="preserve">，否则不得分。</w:t>
            </w:r>
            <w:r/>
          </w:p>
        </w:tc>
      </w:tr>
      <w:tr>
        <w:trPr>
          <w:jc w:val="center"/>
          <w:trHeight w:val="1550"/>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产品实力</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所投产品中具有小学科学、融合学科类VR教学资源相关的软件著作权，有1个得0.5分，最多得1分。</w:t>
            </w:r>
            <w:r/>
          </w:p>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注：1.所登记注册的软件名称表述可略有不同，但内容必须相关，含相同关键字段的软件著作权不重复计数。</w:t>
            </w:r>
            <w:r/>
          </w:p>
          <w:p>
            <w:pPr>
              <w:ind w:firstLine="420"/>
              <w:jc w:val="left"/>
              <w:keepLines w:val="0"/>
              <w:keepNext w:val="0"/>
              <w:pageBreakBefore w:val="0"/>
              <w:spacing w:line="240" w:lineRule="exact"/>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2.需提供相关有效证书扫描件或相关证明材料扫描件，在合同签订前由成交供应商提供相关资料原件核查。</w:t>
            </w:r>
            <w:r/>
          </w:p>
        </w:tc>
      </w:tr>
      <w:tr>
        <w:trPr>
          <w:jc w:val="center"/>
          <w:trHeight w:val="2312"/>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color w:val="auto"/>
                <w:sz w:val="21"/>
                <w:szCs w:val="21"/>
                <w:highlight w:val="none"/>
              </w:rPr>
              <w:t xml:space="preserve">节能环保</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2</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r/>
          </w:p>
          <w:p>
            <w:pPr>
              <w:ind w:firstLine="420"/>
              <w:jc w:val="left"/>
              <w:keepLines w:val="0"/>
              <w:keepNext w:val="0"/>
              <w:pageBreakBefore w:val="0"/>
              <w:spacing w:line="240" w:lineRule="exact"/>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2、投标产品属于财政部、生态环境部公布的“环境标志产品品目清单”范围内的，投标人提供国家确定的认证机构出具的、处于有效期内的该环保产品认证证书原件彩色扫描件的，有1个得0.5分，最多得1分。</w:t>
            </w:r>
            <w:r/>
          </w:p>
        </w:tc>
      </w:tr>
    </w:tbl>
    <w:p>
      <w:pPr>
        <w:pStyle w:val="702"/>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0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0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0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02"/>
        <w:jc w:val="center"/>
        <w:spacing w:beforeAutospacing="0" w:afterAutospacing="0"/>
        <w:rPr>
          <w:rFonts w:hint="eastAsia" w:ascii="宋体" w:hAnsi="宋体" w:eastAsia="宋体" w:cs="宋体"/>
          <w:b/>
          <w:color w:val="auto"/>
          <w:sz w:val="72"/>
          <w:szCs w:val="72"/>
          <w:highlight w:val="none"/>
        </w:rPr>
      </w:pPr>
      <w:r/>
      <w:bookmarkStart w:id="176" w:name="_Toc49090576"/>
      <w:r/>
      <w:bookmarkEnd w:id="176"/>
      <w:r/>
      <w:bookmarkStart w:id="177" w:name="_Toc120614282"/>
      <w:r/>
      <w:bookmarkEnd w:id="177"/>
      <w:r/>
      <w:bookmarkStart w:id="178" w:name="_Hlt26955039"/>
      <w:r/>
      <w:bookmarkStart w:id="179" w:name="_Hlt26671244"/>
      <w:r/>
      <w:bookmarkStart w:id="180" w:name="_Toc26554094"/>
      <w:r/>
      <w:r/>
    </w:p>
    <w:p>
      <w:pPr>
        <w:pStyle w:val="70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02"/>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02"/>
        <w:jc w:val="center"/>
        <w:spacing w:beforeAutospacing="0" w:afterAutospacing="0"/>
        <w:rPr>
          <w:color w:val="auto"/>
          <w:highlight w:val="none"/>
        </w:rPr>
      </w:pPr>
      <w:r>
        <w:rPr>
          <w:color w:val="auto"/>
          <w:highlight w:val="none"/>
        </w:rPr>
        <w:t xml:space="preserve"> </w:t>
      </w:r>
      <w:r/>
    </w:p>
    <w:p>
      <w:pPr>
        <w:pStyle w:val="702"/>
        <w:jc w:val="center"/>
        <w:spacing w:beforeAutospacing="0" w:afterAutospacing="0"/>
        <w:rPr>
          <w:color w:val="auto"/>
          <w:highlight w:val="none"/>
        </w:rPr>
      </w:pPr>
      <w:r>
        <w:rPr>
          <w:color w:val="auto"/>
          <w:highlight w:val="none"/>
        </w:rPr>
        <w:t xml:space="preserve"> </w:t>
      </w:r>
      <w:r/>
    </w:p>
    <w:p>
      <w:pPr>
        <w:pStyle w:val="702"/>
        <w:jc w:val="center"/>
        <w:spacing w:beforeAutospacing="0" w:afterAutospacing="0"/>
        <w:rPr>
          <w:color w:val="auto"/>
          <w:highlight w:val="none"/>
        </w:rPr>
      </w:pPr>
      <w:r>
        <w:rPr>
          <w:color w:val="auto"/>
          <w:highlight w:val="none"/>
        </w:rPr>
        <w:t xml:space="preserve"> </w:t>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r>
      <w:r/>
    </w:p>
    <w:p>
      <w:pPr>
        <w:pStyle w:val="702"/>
        <w:jc w:val="center"/>
        <w:spacing w:beforeAutospacing="0" w:afterAutospacing="0"/>
        <w:rPr>
          <w:color w:val="auto"/>
          <w:highlight w:val="none"/>
        </w:rPr>
      </w:pPr>
      <w:r>
        <w:rPr>
          <w:color w:val="auto"/>
          <w:highlight w:val="none"/>
        </w:rPr>
        <w:t xml:space="preserve"> </w:t>
      </w:r>
      <w:r/>
    </w:p>
    <w:p>
      <w:pPr>
        <w:pStyle w:val="702"/>
        <w:jc w:val="center"/>
        <w:spacing w:beforeAutospacing="0" w:afterAutospacing="0"/>
        <w:rPr>
          <w:color w:val="auto"/>
          <w:highlight w:val="none"/>
        </w:rPr>
      </w:pPr>
      <w:r>
        <w:rPr>
          <w:color w:val="auto"/>
          <w:highlight w:val="none"/>
        </w:rPr>
        <w:t xml:space="preserve"> </w:t>
      </w:r>
      <w:r/>
    </w:p>
    <w:p>
      <w:pPr>
        <w:pStyle w:val="70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0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0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0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02"/>
        <w:jc w:val="center"/>
        <w:spacing w:beforeAutospacing="0" w:afterAutospacing="0" w:line="0" w:lineRule="atLeast"/>
        <w:rPr>
          <w:color w:val="auto"/>
          <w:highlight w:val="none"/>
        </w:rPr>
      </w:pPr>
      <w:r>
        <w:rPr>
          <w:color w:val="auto"/>
          <w:highlight w:val="none"/>
        </w:rPr>
      </w:r>
      <w:r/>
    </w:p>
    <w:p>
      <w:pPr>
        <w:pStyle w:val="702"/>
        <w:jc w:val="center"/>
        <w:spacing w:beforeAutospacing="0" w:afterAutospacing="0" w:line="0" w:lineRule="atLeast"/>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02"/>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02"/>
        <w:jc w:val="center"/>
        <w:spacing w:beforeAutospacing="0" w:afterAutospacing="0" w:line="360" w:lineRule="auto"/>
        <w:rPr>
          <w:color w:val="auto"/>
          <w:highlight w:val="none"/>
        </w:rPr>
      </w:pPr>
      <w:r>
        <w:rPr>
          <w:color w:val="auto"/>
          <w:highlight w:val="none"/>
        </w:rPr>
        <w:t xml:space="preserve"> </w:t>
      </w:r>
      <w:r/>
    </w:p>
    <w:p>
      <w:pPr>
        <w:pStyle w:val="702"/>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一、法人或者其他组织的营业执照等证明文件，自然人的身份证明</w:t>
      </w:r>
      <w:r/>
    </w:p>
    <w:p>
      <w:pPr>
        <w:ind w:firstLine="560"/>
        <w:jc w:val="left"/>
        <w:spacing w:line="440" w:lineRule="exact"/>
        <w:tabs>
          <w:tab w:val="left" w:pos="1331" w:leader="none"/>
        </w:tabs>
        <w:rPr>
          <w:i/>
          <w:color w:val="auto"/>
          <w:sz w:val="28"/>
          <w:szCs w:val="28"/>
          <w:highlight w:val="none"/>
          <w:u w:val="single"/>
        </w:rPr>
      </w:pPr>
      <w:r>
        <w:rPr>
          <w:rFonts w:hint="eastAsia" w:ascii="宋体" w:hAnsi="宋体" w:cs="宋体"/>
          <w:i/>
          <w:color w:val="auto"/>
          <w:sz w:val="28"/>
          <w:szCs w:val="28"/>
          <w:highlight w:val="none"/>
          <w:u w:val="single"/>
        </w:rPr>
        <w:t xml:space="preserve">二、</w:t>
      </w:r>
      <w:r>
        <w:rPr>
          <w:rFonts w:hint="eastAsia" w:ascii="宋体" w:hAnsi="宋体" w:cs="宋体"/>
          <w:i/>
          <w:color w:val="auto"/>
          <w:sz w:val="28"/>
          <w:szCs w:val="28"/>
          <w:highlight w:val="none"/>
          <w:u w:val="single"/>
          <w:lang w:eastAsia="zh-CN"/>
        </w:rPr>
        <w:t xml:space="preserve">上一年度或上上年度的财务状况报表</w:t>
      </w:r>
      <w:r>
        <w:rPr>
          <w:rFonts w:hint="eastAsia" w:ascii="宋体" w:hAnsi="宋体" w:cs="宋体"/>
          <w:i/>
          <w:color w:val="auto"/>
          <w:sz w:val="28"/>
          <w:szCs w:val="28"/>
          <w:highlight w:val="none"/>
          <w:u w:val="single"/>
        </w:rPr>
        <w:t xml:space="preserve">（至少提供资产负债表、利润表、现金流量表，投标人成立不满一年无需提供）</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三、具备履行合同所必需的设备和专业技术能力的书面声明</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2"/>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五、参加政府采购活动前 3 年内在经营活动中没有重大违法记录的书面声明</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六、投标人法定代表人身份证明和投标文件签署授权委托书（另附法定代表人和被授权人的身份证复印件）</w:t>
      </w:r>
      <w:r/>
    </w:p>
    <w:p>
      <w:pPr>
        <w:pStyle w:val="702"/>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七、投标人为被授权人缴纳的社会养老保险证明</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八</w:t>
      </w:r>
      <w:r>
        <w:rPr>
          <w:rFonts w:hint="eastAsia" w:ascii="宋体" w:hAnsi="宋体" w:cs="宋体"/>
          <w:i/>
          <w:iCs w:val="0"/>
          <w:color w:val="auto"/>
          <w:sz w:val="28"/>
          <w:szCs w:val="28"/>
          <w:highlight w:val="none"/>
          <w:u w:val="single"/>
        </w:rPr>
        <w:t xml:space="preserve">、特定资格要求的证明文件（如果本项目设置特定资格要求，则需要提供）</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九</w:t>
      </w:r>
      <w:r>
        <w:rPr>
          <w:rFonts w:hint="eastAsia" w:ascii="宋体" w:hAnsi="宋体" w:cs="宋体"/>
          <w:i/>
          <w:iCs w:val="0"/>
          <w:color w:val="auto"/>
          <w:sz w:val="28"/>
          <w:szCs w:val="28"/>
          <w:highlight w:val="none"/>
          <w:u w:val="single"/>
        </w:rPr>
        <w:t xml:space="preserve">、投标函</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十</w:t>
      </w:r>
      <w:r>
        <w:rPr>
          <w:rFonts w:hint="eastAsia" w:ascii="宋体" w:hAnsi="宋体" w:cs="宋体"/>
          <w:i/>
          <w:iCs w:val="0"/>
          <w:color w:val="auto"/>
          <w:sz w:val="28"/>
          <w:szCs w:val="28"/>
          <w:highlight w:val="none"/>
          <w:u w:val="single"/>
        </w:rPr>
        <w:t xml:space="preserve">、</w:t>
      </w:r>
      <w:r>
        <w:rPr>
          <w:rFonts w:hint="eastAsia" w:ascii="宋体" w:hAnsi="宋体" w:cs="宋体"/>
          <w:i/>
          <w:iCs w:val="0"/>
          <w:color w:val="auto"/>
          <w:sz w:val="28"/>
          <w:szCs w:val="28"/>
          <w:highlight w:val="none"/>
          <w:u w:val="single"/>
          <w:lang w:val="en-US" w:eastAsia="zh-CN"/>
        </w:rPr>
        <w:t xml:space="preserve">中小</w:t>
      </w:r>
      <w:r>
        <w:rPr>
          <w:rFonts w:hint="eastAsia" w:ascii="宋体" w:hAnsi="宋体" w:cs="宋体"/>
          <w:i/>
          <w:iCs w:val="0"/>
          <w:color w:val="auto"/>
          <w:sz w:val="28"/>
          <w:szCs w:val="28"/>
          <w:highlight w:val="none"/>
          <w:u w:val="single"/>
        </w:rPr>
        <w:t xml:space="preserve">企业声明函</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一</w:t>
      </w:r>
      <w:r>
        <w:rPr>
          <w:rFonts w:hint="eastAsia" w:ascii="宋体" w:hAnsi="宋体" w:cs="宋体"/>
          <w:i/>
          <w:iCs w:val="0"/>
          <w:color w:val="auto"/>
          <w:sz w:val="28"/>
          <w:szCs w:val="28"/>
          <w:highlight w:val="none"/>
          <w:u w:val="single"/>
        </w:rPr>
        <w:t xml:space="preserve">、残疾人福利性单位声明函</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二</w:t>
      </w:r>
      <w:r>
        <w:rPr>
          <w:rFonts w:hint="eastAsia" w:ascii="宋体" w:hAnsi="宋体" w:cs="宋体"/>
          <w:i/>
          <w:iCs w:val="0"/>
          <w:color w:val="auto"/>
          <w:sz w:val="28"/>
          <w:szCs w:val="28"/>
          <w:highlight w:val="none"/>
          <w:u w:val="single"/>
        </w:rPr>
        <w:t xml:space="preserve">、联合体协议</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三</w:t>
      </w:r>
      <w:r>
        <w:rPr>
          <w:rFonts w:hint="eastAsia" w:ascii="宋体" w:hAnsi="宋体" w:cs="宋体"/>
          <w:i/>
          <w:iCs w:val="0"/>
          <w:color w:val="auto"/>
          <w:sz w:val="28"/>
          <w:szCs w:val="28"/>
          <w:highlight w:val="none"/>
          <w:u w:val="single"/>
        </w:rPr>
        <w:t xml:space="preserve">、投标分项报价表</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四</w:t>
      </w:r>
      <w:r>
        <w:rPr>
          <w:rFonts w:hint="eastAsia" w:ascii="宋体" w:hAnsi="宋体" w:cs="宋体"/>
          <w:i/>
          <w:iCs w:val="0"/>
          <w:color w:val="auto"/>
          <w:sz w:val="28"/>
          <w:szCs w:val="28"/>
          <w:highlight w:val="none"/>
          <w:u w:val="single"/>
        </w:rPr>
        <w:t xml:space="preserve">、技术要求响应及偏离表</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五</w:t>
      </w:r>
      <w:r>
        <w:rPr>
          <w:rFonts w:hint="eastAsia" w:ascii="宋体" w:hAnsi="宋体" w:cs="宋体"/>
          <w:i/>
          <w:iCs w:val="0"/>
          <w:color w:val="auto"/>
          <w:sz w:val="28"/>
          <w:szCs w:val="28"/>
          <w:highlight w:val="none"/>
          <w:u w:val="single"/>
        </w:rPr>
        <w:t xml:space="preserve">、商务要求响应及偏离表</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六</w:t>
      </w:r>
      <w:r>
        <w:rPr>
          <w:rFonts w:hint="eastAsia" w:ascii="宋体" w:hAnsi="宋体" w:cs="宋体"/>
          <w:i/>
          <w:iCs w:val="0"/>
          <w:color w:val="auto"/>
          <w:sz w:val="28"/>
          <w:szCs w:val="28"/>
          <w:highlight w:val="none"/>
          <w:u w:val="single"/>
        </w:rPr>
        <w:t xml:space="preserve">、开标一览表</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七</w:t>
      </w:r>
      <w:r>
        <w:rPr>
          <w:rFonts w:hint="eastAsia" w:ascii="宋体" w:hAnsi="宋体" w:cs="宋体"/>
          <w:i/>
          <w:iCs w:val="0"/>
          <w:color w:val="auto"/>
          <w:sz w:val="28"/>
          <w:szCs w:val="28"/>
          <w:highlight w:val="none"/>
          <w:u w:val="single"/>
        </w:rPr>
        <w:t xml:space="preserve">、技术方案、服务承诺、培训承诺等</w:t>
      </w:r>
      <w:r/>
    </w:p>
    <w:p>
      <w:pPr>
        <w:pStyle w:val="702"/>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八</w:t>
      </w:r>
      <w:r>
        <w:rPr>
          <w:rFonts w:hint="eastAsia" w:ascii="宋体" w:hAnsi="宋体" w:cs="宋体"/>
          <w:i/>
          <w:iCs w:val="0"/>
          <w:color w:val="auto"/>
          <w:sz w:val="28"/>
          <w:szCs w:val="28"/>
          <w:highlight w:val="none"/>
          <w:u w:val="single"/>
        </w:rPr>
        <w:t xml:space="preserve">、盐城市政府采购事前信用承诺书</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02"/>
        <w:ind w:firstLine="480"/>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02"/>
        <w:jc w:val="both"/>
        <w:spacing w:beforeAutospacing="0" w:afterAutospacing="0"/>
        <w:rPr>
          <w:color w:val="auto"/>
          <w:highlight w:val="none"/>
        </w:rPr>
      </w:pPr>
      <w:r>
        <w:rPr>
          <w:color w:val="auto"/>
          <w:highlight w:val="none"/>
        </w:rPr>
        <w:t xml:space="preserve"> </w:t>
      </w:r>
      <w:r/>
    </w:p>
    <w:p>
      <w:pPr>
        <w:pStyle w:val="70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jc w:val="center"/>
        <w:rPr>
          <w:rFonts w:hint="eastAsia" w:ascii="黑体" w:eastAsia="黑体"/>
          <w:b/>
          <w:bCs/>
          <w:color w:val="auto"/>
          <w:sz w:val="32"/>
          <w:szCs w:val="32"/>
          <w:highlight w:val="none"/>
        </w:rPr>
      </w:pPr>
      <w:r>
        <w:rPr>
          <w:rFonts w:hint="eastAsia" w:ascii="黑体" w:hAnsi="Times New Roman" w:eastAsia="黑体"/>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02"/>
        <w:jc w:val="both"/>
        <w:spacing w:beforeAutospacing="0" w:afterAutospacing="0"/>
        <w:rPr>
          <w:color w:val="auto"/>
          <w:highlight w:val="none"/>
        </w:rPr>
      </w:pPr>
      <w:r>
        <w:rPr>
          <w:rFonts w:hint="eastAsia" w:ascii="黑体" w:hAnsi="宋体" w:eastAsia="黑体" w:cs="黑体"/>
          <w:i/>
          <w:color w:val="auto"/>
          <w:sz w:val="32"/>
          <w:szCs w:val="32"/>
          <w:highlight w:val="none"/>
          <w:u w:val="single"/>
        </w:rPr>
        <w:br w:type="page" w:clear="all"/>
      </w: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02"/>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02"/>
        <w:jc w:val="both"/>
        <w:spacing w:beforeAutospacing="0" w:afterAutospacing="0"/>
        <w:rPr>
          <w:color w:val="auto"/>
          <w:highlight w:val="none"/>
        </w:rPr>
      </w:pPr>
      <w:r>
        <w:rPr>
          <w:color w:val="auto"/>
          <w:highlight w:val="none"/>
        </w:rPr>
        <w:t xml:space="preserve"> </w:t>
      </w:r>
      <w:r/>
    </w:p>
    <w:p>
      <w:pPr>
        <w:pStyle w:val="70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jc w:val="center"/>
        <w:spacing w:line="600" w:lineRule="exact"/>
        <w:rPr>
          <w:rFonts w:hint="eastAsia" w:ascii="黑体" w:eastAsia="黑体"/>
          <w:b/>
          <w:bCs/>
          <w:color w:val="auto"/>
          <w:sz w:val="32"/>
          <w:szCs w:val="32"/>
          <w:highlight w:val="none"/>
        </w:rPr>
      </w:pPr>
      <w:r/>
      <w:bookmarkStart w:id="181" w:name="_Toc120614284"/>
      <w:r>
        <w:rPr>
          <w:rFonts w:hint="eastAsia" w:ascii="黑体" w:eastAsia="黑体"/>
          <w:b/>
          <w:bCs/>
          <w:color w:val="auto"/>
          <w:sz w:val="32"/>
          <w:szCs w:val="32"/>
          <w:highlight w:val="none"/>
        </w:rPr>
        <w:t xml:space="preserve">参加政府采购活动前3年内在经营活动中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2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2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680"/>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02"/>
        <w:jc w:val="both"/>
        <w:spacing w:beforeAutospacing="0" w:afterAutospacing="0"/>
        <w:rPr>
          <w:color w:val="auto"/>
          <w:highlight w:val="none"/>
        </w:rPr>
      </w:pPr>
      <w:r>
        <w:rPr>
          <w:color w:val="auto"/>
          <w:highlight w:val="none"/>
        </w:rPr>
      </w:r>
      <w:r/>
    </w:p>
    <w:p>
      <w:pPr>
        <w:pStyle w:val="70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0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hint="eastAsia" w:ascii="黑体" w:eastAsia="黑体"/>
          <w:b/>
          <w:bCs/>
          <w:i/>
          <w:iCs/>
          <w:color w:val="auto"/>
          <w:sz w:val="32"/>
          <w:szCs w:val="32"/>
          <w:highlight w:val="none"/>
          <w:u w:val="single"/>
        </w:rPr>
        <w:outlineLvl w:val="1"/>
      </w:pPr>
      <w:r>
        <w:rPr>
          <w:rFonts w:hint="eastAsia" w:ascii="黑体" w:eastAsia="黑体"/>
          <w:b/>
          <w:bCs/>
          <w:i/>
          <w:iCs/>
          <w:color w:val="auto"/>
          <w:sz w:val="32"/>
          <w:szCs w:val="32"/>
          <w:highlight w:val="none"/>
          <w:u w:val="single"/>
        </w:rPr>
        <w:t xml:space="preserve">法定代表人身份证明书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：（采购人名称）</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（法定代表人姓名） </w:t>
      </w:r>
      <w:r>
        <w:rPr>
          <w:rFonts w:hint="eastAsia" w:ascii="宋体" w:hAnsi="宋体" w:cs="宋体"/>
          <w:color w:val="auto"/>
          <w:sz w:val="24"/>
          <w:highlight w:val="none"/>
        </w:rPr>
        <w:t xml:space="preserve">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任</w:t>
      </w:r>
      <w:r>
        <w:rPr>
          <w:rFonts w:hint="eastAsia" w:ascii="宋体" w:hAnsi="宋体" w:cs="宋体"/>
          <w:color w:val="auto"/>
          <w:sz w:val="24"/>
          <w:highlight w:val="none"/>
          <w:u w:val="single"/>
        </w:rPr>
        <w:t xml:space="preserve">（职务名称）</w:t>
      </w:r>
      <w:r>
        <w:rPr>
          <w:rFonts w:hint="eastAsia" w:ascii="宋体" w:hAnsi="宋体" w:cs="宋体"/>
          <w:color w:val="auto"/>
          <w:sz w:val="24"/>
          <w:highlight w:val="none"/>
        </w:rPr>
        <w:t xml:space="preserve">职务，是</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的法定代表人，联系电话（手机号码）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5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firstLine="120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126"/>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p>
    <w:p>
      <w:pPr>
        <w:jc w:val="left"/>
        <w:spacing w:line="6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6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（附：法定代表人身份证正反面复印件或扫描件）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hint="eastAsia" w:ascii="黑体" w:eastAsia="黑体"/>
          <w:i/>
          <w:iCs/>
          <w:color w:val="auto"/>
          <w:sz w:val="28"/>
          <w:highlight w:val="none"/>
          <w:u w:val="single"/>
        </w:rPr>
      </w:pPr>
      <w:r>
        <w:rPr>
          <w:rFonts w:ascii="仿宋_GB2312" w:eastAsia="仿宋_GB2312"/>
          <w:color w:val="auto"/>
          <w:sz w:val="24"/>
          <w:highlight w:val="none"/>
        </w:rPr>
        <w:br w:type="page" w:clear="all"/>
      </w:r>
      <w:r>
        <w:rPr>
          <w:rFonts w:hint="eastAsia" w:ascii="黑体" w:hAnsi="Times New Roman" w:eastAsia="黑体"/>
          <w:b/>
          <w:bCs/>
          <w:i/>
          <w:iCs/>
          <w:color w:val="auto"/>
          <w:sz w:val="32"/>
          <w:szCs w:val="32"/>
          <w:highlight w:val="none"/>
          <w:u w:val="single"/>
        </w:rPr>
        <w:t xml:space="preserve">授权委托</w:t>
      </w:r>
      <w:r>
        <w:rPr>
          <w:rFonts w:hint="eastAsia" w:ascii="黑体" w:eastAsia="黑体"/>
          <w:b/>
          <w:bCs/>
          <w:i/>
          <w:iCs/>
          <w:color w:val="auto"/>
          <w:sz w:val="32"/>
          <w:szCs w:val="32"/>
          <w:highlight w:val="none"/>
          <w:u w:val="single"/>
        </w:rPr>
        <w:t xml:space="preserve">书</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本授权书声明：我</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的法定代表人，现授权____________（投标人名称）的________________（被授权人的姓名）为我单位就JSZC-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号项目的投标文件的法定代表人授权委托代理，，我承认被授权人全权代表我所签署的本项目的投标文件的内容。以本单位名义全权处理一切与该项目采购有关的事务。</w:t>
      </w:r>
      <w:r/>
    </w:p>
    <w:p>
      <w:pPr>
        <w:pStyle w:val="864"/>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pStyle w:val="864"/>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highlight w:val="none"/>
        </w:rPr>
        <w:t xml:space="preserve">代理人</w:t>
      </w: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pStyle w:val="864"/>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p>
    <w:p>
      <w:pPr>
        <w:pStyle w:val="864"/>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pStyle w:val="864"/>
        <w:ind w:firstLine="48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p>
    <w:p>
      <w:pPr>
        <w:pStyle w:val="864"/>
        <w:ind w:firstLine="480"/>
        <w:spacing w:line="48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 xml:space="preserve">（加盖电子章）</w:t>
      </w:r>
      <w:r/>
    </w:p>
    <w:p>
      <w:pPr>
        <w:pStyle w:val="864"/>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p>
    <w:p>
      <w:pPr>
        <w:jc w:val="left"/>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（附：被授权人身份证正反面复印件或扫描件）</w:t>
      </w:r>
      <w:r/>
    </w:p>
    <w:p>
      <w:pPr>
        <w:pStyle w:val="681"/>
        <w:spacing w:line="48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r>
      <w:r/>
    </w:p>
    <w:p>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rPr>
          <w:rFonts w:hint="eastAsia" w:ascii="宋体" w:hAnsi="宋体" w:cs="宋体"/>
          <w:color w:val="auto"/>
          <w:sz w:val="24"/>
          <w:highlight w:val="none"/>
        </w:rPr>
        <w:t xml:space="preserve">被授权人须为本单位正式职工并提供投标人为被授权人缴纳的社会养老保险证明。</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rPr>
        <w:br w:type="page" w:clear="all"/>
      </w:r>
      <w:r>
        <w:rPr>
          <w:rFonts w:hint="eastAsia" w:ascii="黑体" w:hAnsi="宋体" w:eastAsia="黑体" w:cs="黑体"/>
          <w:i/>
          <w:color w:val="auto"/>
          <w:sz w:val="32"/>
          <w:szCs w:val="32"/>
          <w:highlight w:val="none"/>
        </w:rPr>
        <w:t xml:space="preserve">七、</w:t>
      </w:r>
      <w:r>
        <w:rPr>
          <w:rFonts w:hint="eastAsia" w:ascii="黑体" w:hAnsi="宋体" w:eastAsia="黑体" w:cs="黑体"/>
          <w:i/>
          <w:color w:val="auto"/>
          <w:sz w:val="32"/>
          <w:szCs w:val="32"/>
          <w:highlight w:val="none"/>
          <w:u w:val="single"/>
        </w:rPr>
        <w:t xml:space="preserve">投标人为被授权人缴纳的社会养老保险证明</w:t>
      </w:r>
      <w:r/>
    </w:p>
    <w:p>
      <w:pPr>
        <w:pStyle w:val="702"/>
        <w:jc w:val="both"/>
        <w:spacing w:beforeAutospacing="0" w:afterAutospacing="0"/>
        <w:rPr>
          <w:color w:val="auto"/>
          <w:highlight w:val="none"/>
        </w:rPr>
      </w:pPr>
      <w:r/>
      <w:bookmarkStart w:id="182" w:name="_Hlt26955070"/>
      <w:r/>
      <w:bookmarkStart w:id="183" w:name="_Hlt26671380"/>
      <w:r/>
      <w:bookmarkStart w:id="184" w:name="_格式3__银行出具的资信证明"/>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、特定资格要求的证明文件</w:t>
      </w:r>
      <w:r/>
    </w:p>
    <w:p>
      <w:pPr>
        <w:pStyle w:val="70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02"/>
        <w:ind w:firstLine="3390"/>
        <w:jc w:val="both"/>
        <w:keepLines/>
        <w:keepNext/>
        <w:pageBreakBefore w:val="0"/>
        <w:spacing w:beforeAutospacing="0" w:afterAutospacing="0" w:line="360" w:lineRule="auto"/>
        <w:widowControl w:val="off"/>
        <w:rPr>
          <w:color w:val="auto"/>
          <w:highlight w:val="none"/>
        </w:rPr>
      </w:pP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lang w:val="en-US" w:eastAsia="zh-CN"/>
        </w:rPr>
        <w:t xml:space="preserve">九</w:t>
      </w:r>
      <w:r>
        <w:rPr>
          <w:rFonts w:hint="eastAsia" w:ascii="黑体" w:hAnsi="宋体" w:eastAsia="黑体" w:cs="黑体"/>
          <w:b/>
          <w:i/>
          <w:color w:val="auto"/>
          <w:sz w:val="32"/>
          <w:szCs w:val="32"/>
          <w:highlight w:val="none"/>
          <w:u w:val="single"/>
        </w:rPr>
        <w:t xml:space="preserve">、投标函</w:t>
      </w:r>
      <w:r/>
    </w:p>
    <w:p>
      <w:pPr>
        <w:pStyle w:val="861"/>
        <w:ind w:firstLine="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p>
    <w:p>
      <w:pPr>
        <w:pStyle w:val="86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JSZC-320981-CCGC-G2025-0062</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6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6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2.我们完全理解贵方不一定将合同授予最低报价的投标人。</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3.我们已详细审核全部招标文件及其有效补充文件，我们知道必须放弃提出含糊不清或误解问题的权利。</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4.我们同意从规定的开标日期起遵循本投标文件，并在规定的投标有效期期满之前均具有约束力。</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7.与本投标有关的正式通讯地址为：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邮编：</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账户：                                      </w:t>
      </w:r>
      <w:r/>
    </w:p>
    <w:p>
      <w:pPr>
        <w:ind w:firstLine="16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rPr>
          <w:rFonts w:hint="eastAsia" w:ascii="宋体" w:hAnsi="宋体" w:cs="宋体"/>
          <w:color w:val="auto"/>
          <w:sz w:val="24"/>
          <w:highlight w:val="none"/>
          <w:u w:val="single"/>
        </w:rPr>
        <w:t xml:space="preserve">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6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480" w:lineRule="exact"/>
        <w:rPr>
          <w:rFonts w:hint="eastAsia" w:ascii="仿宋_GB2312" w:eastAsia="仿宋_GB2312"/>
          <w:color w:val="auto"/>
          <w:sz w:val="24"/>
          <w:highlight w:val="none"/>
        </w:rPr>
        <w:outlineLvl w:val="1"/>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仿宋_GB2312" w:eastAsia="仿宋_GB2312"/>
          <w:color w:val="auto"/>
          <w:sz w:val="24"/>
          <w:highlight w:val="none"/>
        </w:rPr>
        <w:t xml:space="preserve"> </w:t>
      </w:r>
      <w:r/>
    </w:p>
    <w:p>
      <w:pPr>
        <w:pStyle w:val="702"/>
        <w:ind w:firstLine="24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p>
    <w:p>
      <w:pPr>
        <w:pStyle w:val="70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70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0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0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70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70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702"/>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702"/>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702"/>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702"/>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7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7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0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、残疾人福利性单位声明函（分包号：**）</w:t>
      </w:r>
      <w:r/>
    </w:p>
    <w:p>
      <w:pPr>
        <w:pStyle w:val="702"/>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02"/>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702"/>
        <w:ind w:firstLine="480"/>
        <w:jc w:val="both"/>
        <w:spacing w:beforeAutospacing="0" w:afterAutospacing="0" w:line="360" w:lineRule="auto"/>
        <w:rPr>
          <w:color w:val="auto"/>
          <w:highlight w:val="none"/>
        </w:rPr>
      </w:pPr>
      <w:r>
        <w:rPr>
          <w:color w:val="auto"/>
          <w:highlight w:val="none"/>
        </w:rPr>
        <w:t xml:space="preserve"> </w:t>
      </w:r>
      <w:r/>
    </w:p>
    <w:p>
      <w:pPr>
        <w:pStyle w:val="702"/>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（备注：1、供应商如不提供此声明函，价格将不做相应扣除。2、中标供应商为残疾人福利单位的，此声明函将随中标结果同时公告，接受社会监督）</w:t>
      </w:r>
      <w:r/>
    </w:p>
    <w:p>
      <w:pPr>
        <w:pStyle w:val="702"/>
        <w:ind w:firstLine="624"/>
        <w:jc w:val="both"/>
        <w:spacing w:beforeAutospacing="0" w:afterAutospacing="0" w:line="360" w:lineRule="auto"/>
        <w:rPr>
          <w:color w:val="auto"/>
          <w:highlight w:val="none"/>
        </w:rPr>
      </w:pPr>
      <w:r>
        <w:rPr>
          <w:color w:val="auto"/>
          <w:highlight w:val="none"/>
        </w:rPr>
        <w:t xml:space="preserve"> </w:t>
      </w:r>
      <w:r/>
    </w:p>
    <w:p>
      <w:pPr>
        <w:pStyle w:val="702"/>
        <w:ind w:right="1560" w:firstLine="624"/>
        <w:jc w:val="center"/>
        <w:spacing w:beforeAutospacing="0" w:afterAutospacing="0" w:line="360" w:lineRule="auto"/>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xml:space="preserve">          供应商全称（加盖CA电子公章）：</w:t>
      </w:r>
      <w:r/>
    </w:p>
    <w:p>
      <w:pPr>
        <w:pStyle w:val="702"/>
        <w:ind w:right="1560" w:firstLine="480"/>
        <w:jc w:val="center"/>
        <w:spacing w:beforeAutospacing="0" w:afterAutospacing="0" w:line="360" w:lineRule="auto"/>
        <w:tabs>
          <w:tab w:val="left" w:pos="4864" w:leader="none"/>
        </w:tabs>
        <w:rPr>
          <w:color w:val="auto"/>
          <w:highlight w:val="none"/>
        </w:rPr>
      </w:pPr>
      <w:r>
        <w:rPr>
          <w:rFonts w:hint="eastAsia" w:ascii="宋体" w:hAnsi="宋体" w:cs="宋体"/>
          <w:color w:val="auto"/>
          <w:highlight w:val="none"/>
        </w:rPr>
        <w:t xml:space="preserve">        日  期：</w:t>
      </w:r>
      <w:r/>
    </w:p>
    <w:p>
      <w:pPr>
        <w:pStyle w:val="702"/>
        <w:jc w:val="center"/>
        <w:spacing w:beforeAutospacing="0" w:afterAutospacing="0" w:line="0" w:lineRule="atLeast"/>
        <w:rPr>
          <w:color w:val="auto"/>
          <w:highlight w:val="none"/>
        </w:rPr>
      </w:pPr>
      <w:r>
        <w:rPr>
          <w:color w:val="auto"/>
          <w:highlight w:val="none"/>
        </w:rPr>
        <w:t xml:space="preserve"> </w:t>
      </w:r>
      <w:r/>
    </w:p>
    <w:p>
      <w:pPr>
        <w:pStyle w:val="702"/>
        <w:jc w:val="center"/>
        <w:spacing w:beforeAutospacing="0" w:afterAutospacing="0" w:line="0" w:lineRule="atLeast"/>
        <w:rPr>
          <w:color w:val="auto"/>
          <w:highlight w:val="none"/>
        </w:rPr>
      </w:pPr>
      <w:r>
        <w:rPr>
          <w:color w:val="auto"/>
          <w:highlight w:val="none"/>
        </w:rPr>
        <w:t xml:space="preserve"> </w:t>
      </w:r>
      <w:r/>
    </w:p>
    <w:p>
      <w:pPr>
        <w:pStyle w:val="702"/>
        <w:jc w:val="center"/>
        <w:spacing w:beforeAutospacing="0" w:afterAutospacing="0" w:line="0" w:lineRule="atLeast"/>
        <w:rPr>
          <w:color w:val="auto"/>
          <w:highlight w:val="none"/>
        </w:rPr>
      </w:pPr>
      <w:r>
        <w:rPr>
          <w:color w:val="auto"/>
          <w:highlight w:val="none"/>
        </w:rPr>
        <w:t xml:space="preserve"> </w:t>
      </w:r>
      <w:r/>
    </w:p>
    <w:p>
      <w:pPr>
        <w:pStyle w:val="70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、联合体协议（参考格式）（分包号：**）</w:t>
      </w:r>
      <w:r/>
    </w:p>
    <w:p>
      <w:pPr>
        <w:pStyle w:val="70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70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70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0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2"/>
        <w:ind w:firstLine="645"/>
        <w:jc w:val="both"/>
        <w:spacing w:beforeAutospacing="0" w:afterAutospacing="0" w:line="0" w:lineRule="atLeast"/>
        <w:rPr>
          <w:color w:val="auto"/>
          <w:highlight w:val="none"/>
        </w:rPr>
      </w:pPr>
      <w:r>
        <w:rPr>
          <w:color w:val="auto"/>
          <w:highlight w:val="none"/>
        </w:rPr>
        <w:t xml:space="preserve"> </w:t>
      </w:r>
      <w:r/>
    </w:p>
    <w:p>
      <w:pPr>
        <w:pStyle w:val="70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70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702"/>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70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702"/>
        <w:ind w:firstLine="645"/>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r>
      <w:r/>
    </w:p>
    <w:p>
      <w:pPr>
        <w:pStyle w:val="702"/>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line="0" w:lineRule="atLeast"/>
        <w:rPr>
          <w:color w:val="auto"/>
          <w:highlight w:val="none"/>
        </w:rPr>
      </w:pPr>
      <w:r>
        <w:rPr>
          <w:color w:val="auto"/>
          <w:highlight w:val="none"/>
        </w:rPr>
        <w:t xml:space="preserve"> </w:t>
      </w:r>
      <w:r/>
    </w:p>
    <w:p>
      <w:pPr>
        <w:pStyle w:val="702"/>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0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、投标分项报价表（分包号：***）</w:t>
      </w:r>
      <w:r/>
    </w:p>
    <w:tbl>
      <w:tblPr>
        <w:tblStyle w:val="679"/>
        <w:tblW w:w="921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91"/>
        <w:gridCol w:w="1078"/>
        <w:gridCol w:w="979"/>
        <w:gridCol w:w="1405"/>
        <w:gridCol w:w="807"/>
        <w:gridCol w:w="993"/>
        <w:gridCol w:w="753"/>
        <w:gridCol w:w="1365"/>
        <w:gridCol w:w="1246"/>
      </w:tblGrid>
      <w:tr>
        <w:trPr>
          <w:jc w:val="center"/>
          <w:tblCellSpacing w:w="0" w:type="dxa"/>
          <w:trHeight w:val="325"/>
        </w:trPr>
        <w:tc>
          <w:tcPr>
            <w:shd w:val="clear" w:color="auto" w:fill="auto"/>
            <w:tcBorders>
              <w:top w:val="single" w:color="000000" w:sz="4" w:space="0"/>
              <w:left w:val="single" w:color="000000" w:sz="4" w:space="0"/>
              <w:right w:val="single" w:color="000000" w:sz="4" w:space="0"/>
            </w:tcBorders>
            <w:tcW w:w="591" w:type="dxa"/>
            <w:vAlign w:val="center"/>
            <w:vMerge w:val="restart"/>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r>
      <w:tr>
        <w:trPr>
          <w:jc w:val="center"/>
          <w:tblCellSpacing w:w="0" w:type="dxa"/>
          <w:trHeight w:val="288"/>
        </w:trPr>
        <w:tc>
          <w:tcPr>
            <w:shd w:val="clear" w:color="auto" w:fill="auto"/>
            <w:tcBorders>
              <w:left w:val="single" w:color="000000" w:sz="4" w:space="0"/>
              <w:bottom w:val="single" w:color="000000" w:sz="4" w:space="0"/>
              <w:right w:val="single" w:color="000000" w:sz="4" w:space="0"/>
            </w:tcBorders>
            <w:tcW w:w="591" w:type="dxa"/>
            <w:vAlign w:val="center"/>
            <w:vMerge w:val="continue"/>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产品</w:t>
            </w:r>
            <w:r/>
          </w:p>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规格</w:t>
            </w:r>
            <w:r/>
          </w:p>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分项总价</w:t>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穿戴式学生VR终端</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50台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穿戴式学生VR终端系统</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50套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教师端VR教学管理系统</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融合学科VR教学资源</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小学科学VR教学系统</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设备充电消毒一体柜</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裸眼XR便携终端</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裸眼XR便携终端配件包</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偏振式3DVR便携式终端</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14套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观察眼镜</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60副</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VR资源制作软件</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3D 智慧黑板</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八边形操作台</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12套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全钢讲台</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96个</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教室文化环境布置</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80平方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铝方通造型</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170平米</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室内地板</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170平米</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193"/>
        </w:trPr>
        <w:tc>
          <w:tcPr>
            <w:gridSpan w:val="8"/>
            <w:shd w:val="clear" w:color="auto" w:fill="auto"/>
            <w:tcBorders>
              <w:top w:val="single" w:color="000000" w:sz="4" w:space="0"/>
              <w:left w:val="single" w:color="000000" w:sz="4" w:space="0"/>
              <w:bottom w:val="single" w:color="000000" w:sz="4" w:space="0"/>
              <w:right w:val="single" w:color="000000" w:sz="4" w:space="0"/>
            </w:tcBorders>
            <w:tcW w:w="7971" w:type="dxa"/>
            <w:vAlign w:val="center"/>
            <w:textDirection w:val="lrTb"/>
            <w:noWrap w:val="false"/>
          </w:tcPr>
          <w:p>
            <w:pPr>
              <w:pStyle w:val="702"/>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2"/>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02"/>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r/>
    </w:p>
    <w:p>
      <w:pPr>
        <w:pStyle w:val="702"/>
        <w:ind w:firstLine="480"/>
        <w:jc w:val="both"/>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pStyle w:val="702"/>
        <w:ind w:firstLine="480"/>
        <w:jc w:val="right"/>
        <w:keepLines w:val="0"/>
        <w:keepNext w:val="0"/>
        <w:pageBreakBefore w:val="0"/>
        <w:spacing w:beforeAutospacing="0" w:afterAutospacing="0" w:line="440" w:lineRule="exact"/>
        <w:widowControl w:val="off"/>
        <w:rPr>
          <w:rFonts w:hint="default" w:ascii="宋体" w:hAnsi="宋体" w:cs="宋体" w:eastAsiaTheme="minorEastAsia"/>
          <w:color w:val="auto"/>
          <w:sz w:val="24"/>
          <w:highlight w:val="none"/>
          <w:lang w:val="en-US" w:eastAsia="zh-CN"/>
        </w:rPr>
      </w:pPr>
      <w:r>
        <w:rPr>
          <w:color w:val="auto"/>
          <w:highlight w:val="none"/>
          <w:shd w:val="clear" w:color="auto" w:fill="auto"/>
        </w:rPr>
        <w:t xml:space="preserve"> </w:t>
      </w:r>
      <w:r>
        <w:rPr>
          <w:rFonts w:hint="eastAsia" w:ascii="宋体" w:hAnsi="宋体" w:cs="宋体"/>
          <w:color w:val="auto"/>
          <w:sz w:val="24"/>
          <w:highlight w:val="none"/>
        </w:rPr>
        <w:t xml:space="preserve">法定代表人或被授权人（签字）：</w:t>
      </w:r>
      <w:r>
        <w:rPr>
          <w:rFonts w:hint="eastAsia" w:ascii="宋体" w:hAnsi="宋体" w:cs="宋体"/>
          <w:color w:val="auto"/>
          <w:sz w:val="24"/>
          <w:highlight w:val="none"/>
          <w:lang w:val="en-US" w:eastAsia="zh-CN"/>
        </w:rPr>
        <w:t xml:space="preserve">                           </w:t>
      </w:r>
      <w:r/>
    </w:p>
    <w:p>
      <w:pPr>
        <w:ind w:firstLine="16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28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righ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02"/>
        <w:ind w:firstLine="480"/>
        <w:jc w:val="both"/>
        <w:keepLines w:val="0"/>
        <w:keepNext w:val="0"/>
        <w:pageBreakBefore w:val="0"/>
        <w:spacing w:beforeAutospacing="0" w:afterAutospacing="0" w:line="360" w:lineRule="auto"/>
        <w:widowControl w:val="off"/>
        <w:rPr>
          <w:color w:val="auto"/>
          <w:highlight w:val="none"/>
          <w:shd w:val="clear" w:color="auto" w:fill="auto"/>
        </w:rPr>
      </w:pPr>
      <w:r>
        <w:rPr>
          <w:color w:val="auto"/>
          <w:highlight w:val="none"/>
          <w:shd w:val="clear" w:color="auto" w:fill="auto"/>
        </w:rPr>
      </w:r>
      <w:r/>
    </w:p>
    <w:p>
      <w:pPr>
        <w:pStyle w:val="702"/>
        <w:jc w:val="both"/>
        <w:spacing w:beforeAutospacing="0" w:afterAutospacing="0"/>
        <w:rPr>
          <w:color w:val="auto"/>
          <w:highlight w:val="none"/>
        </w:rPr>
      </w:pPr>
      <w:r>
        <w:rPr>
          <w:color w:val="auto"/>
          <w:highlight w:val="none"/>
        </w:rPr>
        <w:t xml:space="preserve"> </w:t>
      </w:r>
      <w:r/>
    </w:p>
    <w:p>
      <w:pPr>
        <w:pStyle w:val="702"/>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0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、技术要求响应及偏离表（分包号：**）</w:t>
      </w:r>
      <w:r/>
    </w:p>
    <w:tbl>
      <w:tblPr>
        <w:tblStyle w:val="679"/>
        <w:tblW w:w="963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08"/>
        <w:gridCol w:w="1711"/>
        <w:gridCol w:w="1712"/>
        <w:gridCol w:w="2950"/>
        <w:gridCol w:w="1410"/>
        <w:gridCol w:w="1245"/>
      </w:tblGrid>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证明</w:t>
            </w:r>
            <w:r/>
          </w:p>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材料</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穿戴式学生VR终端系统</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教师端VR教学管理系统</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融合学科VR教学资源</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小学科学VR教学系统</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设备充电消毒一体柜</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裸眼XR便携终端</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裸眼XR便携终端配件包</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偏振式3DVR便携式终端</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观察眼镜</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VR资源制作软件</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3D 智慧黑板</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八边形操作台</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全钢讲台</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教室文化环境布置</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铝方通造型</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室内地板</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2"/>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0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02"/>
        <w:jc w:val="center"/>
        <w:spacing w:beforeAutospacing="0" w:afterAutospacing="0"/>
        <w:rPr>
          <w:color w:val="auto"/>
          <w:highlight w:val="none"/>
        </w:rPr>
      </w:pPr>
      <w:r>
        <w:rPr>
          <w:color w:val="auto"/>
          <w:highlight w:val="none"/>
        </w:rPr>
        <w:t xml:space="preserve"> </w:t>
      </w:r>
      <w:r/>
    </w:p>
    <w:p>
      <w:pPr>
        <w:pStyle w:val="702"/>
        <w:jc w:val="both"/>
        <w:spacing w:beforeAutospacing="0" w:afterAutospacing="0"/>
        <w:rPr>
          <w:rFonts w:hint="eastAsia"/>
          <w:b/>
          <w:bCs/>
          <w:color w:val="auto"/>
          <w:highlight w:val="none"/>
          <w:lang w:val="en-US" w:eastAsia="zh-CN"/>
        </w:rPr>
      </w:pPr>
      <w:r>
        <w:rPr>
          <w:rFonts w:hint="eastAsia"/>
          <w:b/>
          <w:bCs/>
          <w:color w:val="auto"/>
          <w:highlight w:val="none"/>
          <w:lang w:val="en-US" w:eastAsia="zh-CN"/>
        </w:rPr>
        <w:t xml:space="preserve">上表内容须提供“第四章 采购需求”中要求的证明材料，作为填列证明材料附在本表之后。</w:t>
      </w:r>
      <w:r/>
    </w:p>
    <w:p>
      <w:pPr>
        <w:pStyle w:val="702"/>
        <w:jc w:val="both"/>
        <w:spacing w:beforeAutospacing="0" w:afterAutospacing="0"/>
        <w:rPr>
          <w:color w:val="auto"/>
          <w:highlight w:val="none"/>
        </w:rPr>
      </w:pPr>
      <w:r>
        <w:rPr>
          <w:color w:val="auto"/>
          <w:highlight w:val="none"/>
        </w:rPr>
        <w:t xml:space="preserve"> </w:t>
      </w:r>
      <w:r/>
    </w:p>
    <w:p>
      <w:pPr>
        <w:ind w:firstLine="2880"/>
        <w:spacing w:line="600" w:lineRule="exact"/>
        <w:rPr>
          <w:rFonts w:hint="eastAsia" w:ascii="宋体" w:hAnsi="宋体" w:cs="宋体"/>
          <w:color w:val="auto"/>
          <w:sz w:val="24"/>
          <w:highlight w:val="none"/>
        </w:rPr>
      </w:pPr>
      <w:r>
        <w:rPr>
          <w:color w:val="auto"/>
          <w:highlight w:val="none"/>
        </w:rPr>
        <w:t xml:space="preserve"> </w:t>
      </w:r>
      <w:r>
        <w:rPr>
          <w:rFonts w:hint="eastAsia" w:ascii="宋体" w:hAnsi="宋体" w:cs="宋体"/>
          <w:color w:val="auto"/>
          <w:sz w:val="24"/>
          <w:highlight w:val="none"/>
        </w:rPr>
        <w:t xml:space="preserve">法定代表人或被授权人（签字）：</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pStyle w:val="702"/>
        <w:jc w:val="right"/>
        <w:spacing w:beforeAutospacing="0" w:afterAutospacing="0"/>
        <w:rPr>
          <w:color w:val="auto"/>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Start w:id="185" w:name="_Hlt26955054"/>
      <w:r/>
      <w:r/>
    </w:p>
    <w:p>
      <w:pPr>
        <w:rPr>
          <w:color w:val="auto"/>
          <w:highlight w:val="none"/>
        </w:rPr>
      </w:pPr>
      <w:r>
        <w:rPr>
          <w:color w:val="auto"/>
          <w:highlight w:val="none"/>
        </w:rPr>
        <w:br w:type="page" w:clear="all"/>
      </w:r>
      <w:r/>
    </w:p>
    <w:p>
      <w:pPr>
        <w:pStyle w:val="70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、商务要求响应及偏离表（分包号：**）</w:t>
      </w:r>
      <w:r/>
    </w:p>
    <w:tbl>
      <w:tblPr>
        <w:tblStyle w:val="679"/>
        <w:tblW w:w="97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5"/>
        <w:gridCol w:w="3969"/>
        <w:gridCol w:w="2471"/>
        <w:gridCol w:w="1425"/>
        <w:gridCol w:w="1258"/>
      </w:tblGrid>
      <w:tr>
        <w:trPr>
          <w:tblCellSpacing w:w="0" w:type="dxa"/>
          <w:trHeight w:val="37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bookmarkStart w:id="186" w:name="_Hlt26580838"/>
            <w:r/>
            <w:bookmarkStart w:id="187" w:name="_Hlt26782999"/>
            <w:r/>
            <w:bookmarkStart w:id="188" w:name="_Hlt26955064"/>
            <w:r/>
            <w:bookmarkStart w:id="189" w:name="_Hlt26671343"/>
            <w:r/>
            <w:bookmarkStart w:id="190" w:name="_Hlt26671372"/>
            <w:r/>
            <w:bookmarkStart w:id="191" w:name="_Hlt24879081"/>
            <w:r/>
            <w:bookmarkStart w:id="192" w:name="_Hlt26609391"/>
            <w:r/>
            <w:bookmarkStart w:id="193" w:name="_Hlt26955056"/>
            <w:r>
              <w:rPr>
                <w:rFonts w:hint="eastAsia" w:ascii="宋体" w:hAnsi="宋体" w:eastAsia="宋体" w:cs="宋体"/>
                <w:color w:val="auto"/>
                <w:sz w:val="21"/>
                <w:szCs w:val="21"/>
                <w:highlight w:val="none"/>
              </w:rPr>
              <w:t xml:space="preserve">序号</w:t>
            </w:r>
            <w:bookmarkEnd w:id="186"/>
            <w:r/>
            <w:bookmarkEnd w:id="187"/>
            <w:r/>
            <w:bookmarkEnd w:id="188"/>
            <w:r/>
            <w:bookmarkEnd w:id="189"/>
            <w:r/>
            <w:bookmarkEnd w:id="190"/>
            <w:r/>
            <w:bookmarkEnd w:id="191"/>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w:t>
            </w:r>
            <w:r/>
          </w:p>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72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项目完成时间：</w:t>
            </w:r>
            <w:r>
              <w:rPr>
                <w:rFonts w:hint="eastAsia" w:ascii="宋体" w:hAnsi="宋体" w:eastAsia="宋体" w:cs="宋体"/>
                <w:color w:val="auto"/>
                <w:sz w:val="21"/>
                <w:szCs w:val="21"/>
                <w:highlight w:val="none"/>
                <w:lang w:eastAsia="zh-CN"/>
              </w:rPr>
              <w:t xml:space="preserve">合同签订后30日历天内货物全部送达招标人指定位置且安装、调试完毕，并确保正常稳定运行。</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项目地点：采购人指定地点。</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中标人需严密组织设备安装工作，并建立项目台账资料备查。</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根据采购单位要求，中标人提供现场操作培训，至操作人员可熟练操作。 </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72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投标人为本项目培训中自有或聘用的培训师具有物理、化学、生物或信息技术专业高级教师资格证书。</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79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软件产品厂家提供不少于6次的免费培训，并配合学校每年参与省、市等有关部门组织的教学比赛3次以上（上级教育主管部门审批备案的），申请部级、省级课题时的培训和辅助制作相关内容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977"/>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乙方应按招标文件规定的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技术要求、质量标准向甲方提供</w:t>
            </w:r>
            <w:r>
              <w:rPr>
                <w:rFonts w:hint="eastAsia" w:ascii="宋体" w:hAnsi="宋体" w:eastAsia="宋体" w:cs="宋体"/>
                <w:color w:val="auto"/>
                <w:sz w:val="21"/>
                <w:szCs w:val="21"/>
                <w:highlight w:val="none"/>
                <w:lang w:val="en-US" w:eastAsia="zh-CN"/>
              </w:rPr>
              <w:t xml:space="preserve">合格服务</w:t>
            </w: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264"/>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质量保证期满后，供应商和厂家应同样提供免费电话咨询服务，并以优惠价格提供售后服务</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如甲方使用不当造成货物的毁损，乙方有义务协助维修。</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遵守相关保密协议，保证不擅自使用用户数据，并不将用户数据泄露给第三方。</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（1）甲方依法组织履约验收工作。（按采购人的招标文件、投标人的响应文件、国家及行业相关规定验收）</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（3）对于实际使用人和甲方分离的项目，甲方邀请实际使用人参与验收。</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（4）如有必要，甲方邀请参加本项目的其他供应商或第三方专业机构及专家参与验收，相关意见将作为验收书的参考资料。</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验收标准如下：</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A、产品为全新，未使用过的原装合格正品，安装质量符合各项技术标准和国家强制性标准；</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B、货物到达现场后，乙方必须在使用单位人员在场情况下当面开箱，共同清点、检查外观，箱记录，双方签字确认。</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C、乙方应保证货物到达甲方所在地完好无损，如有缺漏、损坏，由乙方负责调换、补齐或赔偿。</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D、乙方应提供完备的技术资料、装箱单和合格证等，验收合格条件（标准）如下：</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①设备技术参数与采购合同一致，性能指标达到规定的标准。</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②货物技术资料、装箱单、合格证等资料齐全。</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③在系统试运行期间所出现的问题得到解决，并运行正常。</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④在规定时间内完成交货并验收，并经甲方确认。</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E、乙方须完成甲方所有采购的软硬件产品安装调试工作，须符合甲方要求并试运行1个月后，才作为最终验收。</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F、乙方提供的货物未达到采购文件规定要求，且对甲方造成损失的，由乙方承担一切责任，并赔偿所造成的损失。</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G、甲方可邀请国家认可的质量检测机构参加验收工作。</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H、甲方需要制造商对乙方交付的产品（包括质量、技术参数等）进行确认的，乙方须无条件配合，并出具书面确认证明。</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I、产品包装材料归甲方所有。</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（四）付款方式：</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1、合同签订后30日内，支付合同金额30%的预付款。</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所有货物安装完毕，甲方组织初步验收，初步验收合格后收到乙方发票10个工作日内甲方向乙方支付至合同总价的90%款项</w:t>
            </w:r>
            <w:r>
              <w:rPr>
                <w:rFonts w:hint="eastAsia" w:ascii="宋体" w:hAnsi="宋体" w:eastAsia="宋体" w:cs="宋体"/>
                <w:color w:val="auto"/>
                <w:sz w:val="21"/>
                <w:szCs w:val="21"/>
                <w:highlight w:val="none"/>
              </w:rPr>
              <w:t xml:space="preserve">；</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3、初步验收合格且项目运行满12个月后，甲方组织最终验收，最终验收合格后收到乙方发票10个工作日内甲方付清货款；</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4、在签订合同时，乙方明确表示无需预付款或者主动要求降低预付款比例的，甲方可不适用上述关于预付款的规定。</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5、结算款项时乙方须出具相应金额的有效票据。</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6、甲方原则上自收到发票后10个工作日内将资金支付到乙方账户。</w:t>
            </w:r>
            <w:r/>
          </w:p>
          <w:p>
            <w:pPr>
              <w:pStyle w:val="702"/>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7、当采购数量与实际使用数量不一致时，乙方应根据实际使用量供货，合同的最终结算金额按实际使用量乘以成交单价进行计算。</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2"/>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0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ind w:firstLine="2880"/>
        <w:spacing w:line="600" w:lineRule="exact"/>
        <w:rPr>
          <w:rFonts w:hint="eastAsia" w:ascii="宋体" w:hAnsi="宋体" w:cs="宋体"/>
          <w:color w:val="auto"/>
          <w:sz w:val="24"/>
          <w:highlight w:val="none"/>
        </w:rPr>
      </w:pPr>
      <w:r/>
      <w:bookmarkStart w:id="194" w:name="_Toc462564146"/>
      <w:r/>
      <w:bookmarkStart w:id="195" w:name="_Hlt26609389"/>
      <w:r/>
      <w:bookmarkStart w:id="196" w:name="_Hlt26955066"/>
      <w:r/>
      <w:bookmarkStart w:id="197" w:name="_格式2__法定代表人授权书"/>
      <w:r/>
      <w:bookmarkStart w:id="198" w:name="_Hlt26671374"/>
      <w:r>
        <w:rPr>
          <w:color w:val="auto"/>
          <w:highlight w:val="none"/>
        </w:rPr>
        <w:t xml:space="preserve"> </w:t>
      </w:r>
      <w:r>
        <w:rPr>
          <w:rFonts w:hint="eastAsia" w:ascii="宋体" w:hAnsi="宋体" w:cs="宋体"/>
          <w:color w:val="auto"/>
          <w:sz w:val="24"/>
          <w:highlight w:val="none"/>
        </w:rPr>
        <w:t xml:space="preserve">法定代表人或被授权人（签字）：</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jc w:val="right"/>
        <w:rPr>
          <w:rFonts w:hint="eastAsia" w:ascii="黑体" w:hAnsi="宋体" w:eastAsia="黑体" w:cs="黑体"/>
          <w:b/>
          <w:i/>
          <w:color w:val="auto"/>
          <w:sz w:val="32"/>
          <w:szCs w:val="32"/>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黑体" w:hAnsi="宋体" w:eastAsia="黑体" w:cs="黑体"/>
          <w:b/>
          <w:i/>
          <w:color w:val="auto"/>
          <w:sz w:val="32"/>
          <w:szCs w:val="32"/>
          <w:highlight w:val="none"/>
          <w:u w:val="single"/>
        </w:rPr>
        <w:br w:type="page" w:clear="all"/>
      </w:r>
      <w:r/>
    </w:p>
    <w:p>
      <w:pPr>
        <w:pStyle w:val="702"/>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rPr>
          <w:rFonts w:ascii="Times New Roman" w:hAnsi="Times New Roman"/>
          <w:color w:val="auto"/>
          <w:sz w:val="21"/>
          <w:szCs w:val="21"/>
          <w:highlight w:val="none"/>
          <w:shd w:val="clear" w:color="auto" w:fill="auto"/>
        </w:rPr>
        <w:t xml:space="preserve">（备注：经办人在有总报价有核心产品时选用。确定后该备注删除。）</w:t>
      </w:r>
      <w:r/>
    </w:p>
    <w:p>
      <w:pPr>
        <w:pStyle w:val="702"/>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70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0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0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79"/>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2"/>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02"/>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02"/>
              <w:spacing w:beforeAutospacing="0" w:afterAutospacing="0" w:line="0" w:lineRule="atLeast"/>
              <w:rPr>
                <w:color w:val="auto"/>
                <w:highlight w:val="none"/>
              </w:rPr>
            </w:pPr>
            <w:r>
              <w:rPr>
                <w:color w:val="auto"/>
                <w:highlight w:val="none"/>
              </w:rPr>
              <w:t xml:space="preserve"> </w:t>
            </w:r>
            <w:r/>
          </w:p>
        </w:tc>
      </w:tr>
    </w:tbl>
    <w:p>
      <w:pPr>
        <w:pStyle w:val="702"/>
        <w:jc w:val="both"/>
        <w:spacing w:beforeAutospacing="0" w:afterAutospacing="0"/>
        <w:rPr>
          <w:color w:val="auto"/>
          <w:highlight w:val="none"/>
        </w:rPr>
      </w:pPr>
      <w:r>
        <w:rPr>
          <w:color w:val="auto"/>
          <w:highlight w:val="none"/>
        </w:rPr>
        <w:t xml:space="preserve"> </w:t>
      </w:r>
      <w:r/>
    </w:p>
    <w:p>
      <w:pPr>
        <w:pStyle w:val="70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02"/>
        <w:jc w:val="both"/>
        <w:spacing w:beforeAutospacing="0" w:afterAutospacing="0"/>
        <w:rPr>
          <w:color w:val="auto"/>
          <w:highlight w:val="none"/>
        </w:rPr>
      </w:pPr>
      <w:r>
        <w:rPr>
          <w:color w:val="auto"/>
          <w:highlight w:val="none"/>
        </w:rPr>
        <w:t xml:space="preserve"> </w:t>
      </w:r>
      <w:r/>
    </w:p>
    <w:p>
      <w:pPr>
        <w:jc w:val="center"/>
        <w:spacing w:before="50" w:after="50"/>
        <w:widowControl/>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七</w:t>
      </w:r>
      <w:r>
        <w:rPr>
          <w:rFonts w:hint="eastAsia" w:ascii="宋体" w:hAnsi="宋体" w:eastAsia="宋体" w:cs="宋体"/>
          <w:b/>
          <w:bCs/>
          <w:i/>
          <w:iCs/>
          <w:color w:val="auto"/>
          <w:sz w:val="32"/>
          <w:szCs w:val="32"/>
          <w:highlight w:val="none"/>
          <w:u w:val="single"/>
        </w:rPr>
        <w:t xml:space="preserve">、技术方案、服务承诺、培训承诺等</w:t>
      </w:r>
      <w:r/>
    </w:p>
    <w:p>
      <w:pPr>
        <w:pStyle w:val="70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0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0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702"/>
        <w:jc w:val="center"/>
        <w:spacing w:beforeAutospacing="0" w:afterAutospacing="0"/>
        <w:rPr>
          <w:rFonts w:hint="eastAsia" w:ascii="黑体" w:hAnsi="宋体" w:eastAsia="黑体" w:cs="黑体"/>
          <w:b w:val="0"/>
          <w:bCs/>
          <w:i/>
          <w:iCs w:val="0"/>
          <w:color w:val="auto"/>
          <w:sz w:val="32"/>
          <w:szCs w:val="32"/>
          <w:highlight w:val="none"/>
          <w:u w:val="single"/>
        </w:rPr>
      </w:pPr>
      <w:r>
        <w:rPr>
          <w:rFonts w:hint="eastAsia" w:ascii="黑体" w:hAnsi="宋体" w:eastAsia="黑体" w:cs="黑体"/>
          <w:b w:val="0"/>
          <w:bCs/>
          <w:i/>
          <w:iCs w:val="0"/>
          <w:color w:val="auto"/>
          <w:sz w:val="32"/>
          <w:szCs w:val="32"/>
          <w:highlight w:val="none"/>
          <w:u w:val="single"/>
        </w:rPr>
        <w:t xml:space="preserve">十</w:t>
      </w:r>
      <w:r>
        <w:rPr>
          <w:rFonts w:hint="eastAsia" w:ascii="黑体" w:hAnsi="宋体" w:eastAsia="黑体" w:cs="黑体"/>
          <w:b w:val="0"/>
          <w:bCs/>
          <w:i/>
          <w:iCs w:val="0"/>
          <w:color w:val="auto"/>
          <w:sz w:val="32"/>
          <w:szCs w:val="32"/>
          <w:highlight w:val="none"/>
          <w:u w:val="single"/>
          <w:lang w:val="en-US" w:eastAsia="zh-CN"/>
        </w:rPr>
        <w:t xml:space="preserve">八</w:t>
      </w:r>
      <w:r>
        <w:rPr>
          <w:rFonts w:hint="eastAsia" w:ascii="黑体" w:hAnsi="宋体" w:eastAsia="黑体" w:cs="黑体"/>
          <w:b w:val="0"/>
          <w:bCs/>
          <w:i/>
          <w:iCs w:val="0"/>
          <w:color w:val="auto"/>
          <w:sz w:val="32"/>
          <w:szCs w:val="32"/>
          <w:highlight w:val="none"/>
          <w:u w:val="single"/>
        </w:rPr>
        <w:t xml:space="preserve">、盐城市政府采购事前信用承诺书</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4"/>
      <w:bookmarkEnd w:id="178"/>
      <w:bookmarkEnd w:id="179"/>
      <w:bookmarkEnd w:id="180"/>
      <w:bookmarkEnd w:id="181"/>
      <w:bookmarkEnd w:id="182"/>
      <w:bookmarkEnd w:id="183"/>
      <w:bookmarkEnd w:id="184"/>
      <w:bookmarkEnd w:id="185"/>
      <w:bookmarkEnd w:id="194"/>
      <w:bookmarkEnd w:id="195"/>
      <w:bookmarkEnd w:id="196"/>
      <w:bookmarkEnd w:id="197"/>
      <w:bookmarkEnd w:id="198"/>
      <w:r/>
    </w:p>
    <w:p>
      <w:pPr>
        <w:pStyle w:val="702"/>
        <w:jc w:val="center"/>
        <w:spacing w:beforeAutospacing="0" w:afterAutospacing="0"/>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02"/>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02"/>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0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0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0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0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0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0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0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0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0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2"/>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Adobe 仿宋 Std R">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lvlOverride w:ilvl="0">
      <w:startOverride w:val="2"/>
    </w:lvlOverride>
  </w:num>
  <w:num w:numId="4">
    <w:abstractNumId w:val="0"/>
    <w:lvlOverride w:ilvl="0">
      <w:startOverride w:val="6"/>
    </w:lvlOverride>
  </w:num>
  <w:num w:numId="5">
    <w:abstractNumId w:val="6"/>
    <w:lvlOverride w:ilvl="0">
      <w:startOverride w:val="16"/>
    </w:lvlOverride>
  </w:num>
  <w:num w:numId="6">
    <w:abstractNumId w:val="4"/>
    <w:lvlOverride w:ilvl="0">
      <w:startOverride w:val="23"/>
    </w:lvlOverride>
  </w:num>
  <w:num w:numId="7">
    <w:abstractNumId w:val="7"/>
  </w:num>
  <w:num w:numId="8">
    <w:abstractNumId w:val="9"/>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9">
    <w:name w:val="Heading 1"/>
    <w:basedOn w:val="668"/>
    <w:next w:val="668"/>
    <w:uiPriority w:val="0"/>
    <w:qFormat/>
    <w:pPr>
      <w:jc w:val="center"/>
      <w:keepNext/>
      <w:spacing w:line="360" w:lineRule="auto"/>
      <w:outlineLvl w:val="0"/>
    </w:pPr>
    <w:rPr>
      <w:rFonts w:ascii="宋体" w:hAnsi="宋体" w:eastAsia="宋体" w:cs="Times New Roman"/>
      <w:b/>
      <w:sz w:val="24"/>
      <w:szCs w:val="20"/>
    </w:rPr>
  </w:style>
  <w:style w:type="paragraph" w:styleId="670">
    <w:name w:val="Heading 2"/>
    <w:basedOn w:val="668"/>
    <w:next w:val="66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1">
    <w:name w:val="Heading 3"/>
    <w:basedOn w:val="668"/>
    <w:next w:val="668"/>
    <w:uiPriority w:val="9"/>
    <w:unhideWhenUsed/>
    <w:qFormat/>
    <w:pPr>
      <w:keepLines/>
      <w:keepNext/>
      <w:spacing w:before="260" w:after="260" w:line="413" w:lineRule="auto"/>
      <w:outlineLvl w:val="2"/>
    </w:pPr>
    <w:rPr>
      <w:b/>
      <w:sz w:val="32"/>
    </w:rPr>
  </w:style>
  <w:style w:type="paragraph" w:styleId="672">
    <w:name w:val="Heading 4"/>
    <w:basedOn w:val="668"/>
    <w:next w:val="668"/>
    <w:link w:val="711"/>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2"/>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3"/>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5"/>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6"/>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Normal Indent"/>
    <w:basedOn w:val="668"/>
    <w:uiPriority w:val="0"/>
    <w:qFormat/>
    <w:pPr>
      <w:ind w:firstLine="420"/>
    </w:pPr>
  </w:style>
  <w:style w:type="paragraph" w:styleId="682">
    <w:name w:val="Caption"/>
    <w:basedOn w:val="668"/>
    <w:next w:val="66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3">
    <w:name w:val="annotation text"/>
    <w:basedOn w:val="668"/>
    <w:uiPriority w:val="0"/>
    <w:qFormat/>
    <w:pPr>
      <w:jc w:val="left"/>
    </w:pPr>
  </w:style>
  <w:style w:type="paragraph" w:styleId="684">
    <w:name w:val="Body Text"/>
    <w:basedOn w:val="668"/>
    <w:uiPriority w:val="0"/>
    <w:unhideWhenUsed/>
    <w:qFormat/>
    <w:pPr>
      <w:spacing w:after="120"/>
    </w:pPr>
    <w:rPr>
      <w:rFonts w:ascii="Calibri" w:hAnsi="Calibri"/>
      <w:szCs w:val="22"/>
    </w:rPr>
  </w:style>
  <w:style w:type="paragraph" w:styleId="685">
    <w:name w:val="Body Text Indent"/>
    <w:basedOn w:val="668"/>
    <w:next w:val="668"/>
    <w:uiPriority w:val="0"/>
    <w:qFormat/>
    <w:pPr>
      <w:ind w:left="420"/>
      <w:spacing w:after="120"/>
    </w:pPr>
  </w:style>
  <w:style w:type="paragraph" w:styleId="686">
    <w:name w:val="Block Text"/>
    <w:basedOn w:val="668"/>
    <w:uiPriority w:val="99"/>
    <w:unhideWhenUsed/>
    <w:qFormat/>
    <w:pPr>
      <w:ind w:left="1440" w:right="1440"/>
      <w:spacing w:after="120"/>
    </w:pPr>
  </w:style>
  <w:style w:type="paragraph" w:styleId="687">
    <w:name w:val="toc 5"/>
    <w:basedOn w:val="668"/>
    <w:next w:val="668"/>
    <w:uiPriority w:val="39"/>
    <w:unhideWhenUsed/>
    <w:qFormat/>
    <w:pPr>
      <w:ind w:left="1134" w:right="0" w:firstLine="0"/>
      <w:spacing w:after="57"/>
    </w:pPr>
  </w:style>
  <w:style w:type="paragraph" w:styleId="688">
    <w:name w:val="toc 3"/>
    <w:basedOn w:val="668"/>
    <w:next w:val="668"/>
    <w:uiPriority w:val="39"/>
    <w:unhideWhenUsed/>
    <w:qFormat/>
    <w:pPr>
      <w:ind w:left="567" w:right="0" w:firstLine="0"/>
      <w:spacing w:after="57"/>
    </w:pPr>
  </w:style>
  <w:style w:type="paragraph" w:styleId="689">
    <w:name w:val="Plain Text"/>
    <w:basedOn w:val="668"/>
    <w:uiPriority w:val="0"/>
    <w:unhideWhenUsed/>
    <w:qFormat/>
    <w:rPr>
      <w:rFonts w:ascii="宋体" w:hAnsi="Courier New" w:cs="Courier New"/>
      <w:szCs w:val="21"/>
    </w:rPr>
  </w:style>
  <w:style w:type="paragraph" w:styleId="690">
    <w:name w:val="toc 8"/>
    <w:basedOn w:val="668"/>
    <w:next w:val="668"/>
    <w:uiPriority w:val="39"/>
    <w:unhideWhenUsed/>
    <w:qFormat/>
    <w:pPr>
      <w:ind w:left="1984" w:right="0" w:firstLine="0"/>
      <w:spacing w:after="57"/>
    </w:pPr>
  </w:style>
  <w:style w:type="paragraph" w:styleId="691">
    <w:name w:val="endnote text"/>
    <w:basedOn w:val="668"/>
    <w:link w:val="853"/>
    <w:uiPriority w:val="99"/>
    <w:semiHidden/>
    <w:unhideWhenUsed/>
    <w:qFormat/>
    <w:pPr>
      <w:spacing w:after="0" w:line="240" w:lineRule="auto"/>
    </w:pPr>
    <w:rPr>
      <w:sz w:val="20"/>
    </w:rPr>
  </w:style>
  <w:style w:type="paragraph" w:styleId="692">
    <w:name w:val="Footer"/>
    <w:basedOn w:val="668"/>
    <w:link w:val="858"/>
    <w:uiPriority w:val="0"/>
    <w:qFormat/>
    <w:pPr>
      <w:jc w:val="left"/>
      <w:tabs>
        <w:tab w:val="center" w:pos="4153" w:leader="none"/>
        <w:tab w:val="right" w:pos="8306" w:leader="none"/>
      </w:tabs>
    </w:pPr>
    <w:rPr>
      <w:sz w:val="18"/>
      <w:szCs w:val="18"/>
    </w:rPr>
  </w:style>
  <w:style w:type="paragraph" w:styleId="693">
    <w:name w:val="Header"/>
    <w:basedOn w:val="668"/>
    <w:link w:val="857"/>
    <w:uiPriority w:val="0"/>
    <w:qFormat/>
    <w:pPr>
      <w:jc w:val="center"/>
      <w:tabs>
        <w:tab w:val="center" w:pos="4153" w:leader="none"/>
        <w:tab w:val="right" w:pos="8306" w:leader="none"/>
      </w:tabs>
      <w:pBdr>
        <w:bottom w:val="single" w:color="auto" w:sz="6" w:space="1"/>
      </w:pBdr>
    </w:pPr>
    <w:rPr>
      <w:sz w:val="18"/>
      <w:szCs w:val="18"/>
    </w:rPr>
  </w:style>
  <w:style w:type="paragraph" w:styleId="694">
    <w:name w:val="toc 1"/>
    <w:basedOn w:val="668"/>
    <w:next w:val="668"/>
    <w:uiPriority w:val="39"/>
    <w:unhideWhenUsed/>
    <w:qFormat/>
    <w:pPr>
      <w:ind w:left="0" w:right="0" w:firstLine="0"/>
      <w:spacing w:after="57"/>
    </w:pPr>
  </w:style>
  <w:style w:type="paragraph" w:styleId="695">
    <w:name w:val="toc 4"/>
    <w:basedOn w:val="668"/>
    <w:next w:val="668"/>
    <w:uiPriority w:val="39"/>
    <w:unhideWhenUsed/>
    <w:qFormat/>
    <w:pPr>
      <w:ind w:left="850" w:right="0" w:firstLine="0"/>
      <w:spacing w:after="57"/>
    </w:pPr>
  </w:style>
  <w:style w:type="paragraph" w:styleId="696">
    <w:name w:val="Subtitle"/>
    <w:basedOn w:val="668"/>
    <w:next w:val="668"/>
    <w:link w:val="719"/>
    <w:uiPriority w:val="11"/>
    <w:qFormat/>
    <w:pPr>
      <w:spacing w:before="200" w:after="200"/>
    </w:pPr>
    <w:rPr>
      <w:sz w:val="24"/>
      <w:szCs w:val="24"/>
    </w:rPr>
  </w:style>
  <w:style w:type="paragraph" w:styleId="697">
    <w:name w:val="footnote text"/>
    <w:basedOn w:val="668"/>
    <w:link w:val="852"/>
    <w:uiPriority w:val="99"/>
    <w:semiHidden/>
    <w:unhideWhenUsed/>
    <w:qFormat/>
    <w:pPr>
      <w:spacing w:after="40" w:line="240" w:lineRule="auto"/>
    </w:pPr>
    <w:rPr>
      <w:sz w:val="18"/>
    </w:rPr>
  </w:style>
  <w:style w:type="paragraph" w:styleId="698">
    <w:name w:val="toc 6"/>
    <w:basedOn w:val="668"/>
    <w:next w:val="668"/>
    <w:uiPriority w:val="39"/>
    <w:unhideWhenUsed/>
    <w:qFormat/>
    <w:pPr>
      <w:ind w:left="1417" w:right="0" w:firstLine="0"/>
      <w:spacing w:after="57"/>
    </w:pPr>
  </w:style>
  <w:style w:type="paragraph" w:styleId="699">
    <w:name w:val="table of figures"/>
    <w:basedOn w:val="668"/>
    <w:next w:val="668"/>
    <w:uiPriority w:val="99"/>
    <w:unhideWhenUsed/>
    <w:qFormat/>
    <w:pPr>
      <w:spacing w:after="0" w:afterAutospacing="0"/>
    </w:pPr>
  </w:style>
  <w:style w:type="paragraph" w:styleId="700">
    <w:name w:val="toc 2"/>
    <w:basedOn w:val="668"/>
    <w:next w:val="668"/>
    <w:uiPriority w:val="39"/>
    <w:unhideWhenUsed/>
    <w:qFormat/>
    <w:pPr>
      <w:ind w:left="283" w:right="0" w:firstLine="0"/>
      <w:spacing w:after="57"/>
    </w:pPr>
  </w:style>
  <w:style w:type="paragraph" w:styleId="701">
    <w:name w:val="toc 9"/>
    <w:basedOn w:val="668"/>
    <w:next w:val="668"/>
    <w:uiPriority w:val="39"/>
    <w:unhideWhenUsed/>
    <w:qFormat/>
    <w:pPr>
      <w:ind w:left="2268" w:right="0" w:firstLine="0"/>
      <w:spacing w:after="57"/>
    </w:pPr>
  </w:style>
  <w:style w:type="paragraph" w:styleId="702">
    <w:name w:val="Normal (Web)"/>
    <w:basedOn w:val="668"/>
    <w:uiPriority w:val="0"/>
    <w:qFormat/>
    <w:pPr>
      <w:jc w:val="left"/>
      <w:spacing w:beforeAutospacing="1" w:afterAutospacing="1"/>
    </w:pPr>
    <w:rPr>
      <w:rFonts w:cs="Times New Roman"/>
      <w:sz w:val="24"/>
    </w:rPr>
  </w:style>
  <w:style w:type="paragraph" w:styleId="703">
    <w:name w:val="Title"/>
    <w:basedOn w:val="668"/>
    <w:next w:val="668"/>
    <w:link w:val="718"/>
    <w:uiPriority w:val="10"/>
    <w:qFormat/>
    <w:pPr>
      <w:contextualSpacing/>
      <w:spacing w:before="300" w:after="200"/>
    </w:pPr>
    <w:rPr>
      <w:sz w:val="48"/>
      <w:szCs w:val="48"/>
    </w:rPr>
  </w:style>
  <w:style w:type="table" w:styleId="704">
    <w:name w:val="Table Grid"/>
    <w:basedOn w:val="6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5">
    <w:name w:val="endnote reference"/>
    <w:basedOn w:val="678"/>
    <w:uiPriority w:val="99"/>
    <w:semiHidden/>
    <w:unhideWhenUsed/>
    <w:qFormat/>
    <w:rPr>
      <w:vertAlign w:val="superscript"/>
    </w:rPr>
  </w:style>
  <w:style w:type="character" w:styleId="706">
    <w:name w:val="Hyperlink"/>
    <w:uiPriority w:val="99"/>
    <w:unhideWhenUsed/>
    <w:qFormat/>
    <w:rPr>
      <w:color w:val="0563c1" w:themeColor="hyperlink"/>
      <w:u w:val="single"/>
      <w14:textFill>
        <w14:solidFill>
          <w14:schemeClr w14:val="hlink"/>
        </w14:solidFill>
      </w14:textFill>
    </w:rPr>
  </w:style>
  <w:style w:type="character" w:styleId="707">
    <w:name w:val="footnote reference"/>
    <w:basedOn w:val="678"/>
    <w:uiPriority w:val="99"/>
    <w:unhideWhenUsed/>
    <w:qFormat/>
    <w:rPr>
      <w:vertAlign w:val="superscript"/>
    </w:rPr>
  </w:style>
  <w:style w:type="character" w:styleId="708" w:customStyle="1">
    <w:name w:val="Heading 1 Char"/>
    <w:basedOn w:val="678"/>
    <w:uiPriority w:val="9"/>
    <w:qFormat/>
    <w:rPr>
      <w:rFonts w:ascii="Arial" w:hAnsi="Arial" w:eastAsia="Arial" w:cs="Arial"/>
      <w:sz w:val="40"/>
      <w:szCs w:val="40"/>
    </w:rPr>
  </w:style>
  <w:style w:type="character" w:styleId="709" w:customStyle="1">
    <w:name w:val="Heading 2 Char"/>
    <w:basedOn w:val="678"/>
    <w:uiPriority w:val="9"/>
    <w:qFormat/>
    <w:rPr>
      <w:rFonts w:ascii="Arial" w:hAnsi="Arial" w:eastAsia="Arial" w:cs="Arial"/>
      <w:sz w:val="34"/>
    </w:rPr>
  </w:style>
  <w:style w:type="character" w:styleId="710" w:customStyle="1">
    <w:name w:val="Heading 3 Char"/>
    <w:basedOn w:val="678"/>
    <w:uiPriority w:val="9"/>
    <w:qFormat/>
    <w:rPr>
      <w:rFonts w:ascii="Arial" w:hAnsi="Arial" w:eastAsia="Arial" w:cs="Arial"/>
      <w:sz w:val="30"/>
      <w:szCs w:val="30"/>
    </w:rPr>
  </w:style>
  <w:style w:type="character" w:styleId="711" w:customStyle="1">
    <w:name w:val="Heading 4 Char"/>
    <w:basedOn w:val="678"/>
    <w:link w:val="672"/>
    <w:uiPriority w:val="9"/>
    <w:qFormat/>
    <w:rPr>
      <w:rFonts w:ascii="Arial" w:hAnsi="Arial" w:eastAsia="Arial" w:cs="Arial"/>
      <w:b/>
      <w:bCs/>
      <w:sz w:val="26"/>
      <w:szCs w:val="26"/>
    </w:rPr>
  </w:style>
  <w:style w:type="character" w:styleId="712" w:customStyle="1">
    <w:name w:val="Heading 5 Char"/>
    <w:basedOn w:val="678"/>
    <w:link w:val="673"/>
    <w:uiPriority w:val="9"/>
    <w:qFormat/>
    <w:rPr>
      <w:rFonts w:ascii="Arial" w:hAnsi="Arial" w:eastAsia="Arial" w:cs="Arial"/>
      <w:b/>
      <w:bCs/>
      <w:sz w:val="24"/>
      <w:szCs w:val="24"/>
    </w:rPr>
  </w:style>
  <w:style w:type="character" w:styleId="713" w:customStyle="1">
    <w:name w:val="Heading 6 Char"/>
    <w:basedOn w:val="678"/>
    <w:link w:val="674"/>
    <w:uiPriority w:val="9"/>
    <w:qFormat/>
    <w:rPr>
      <w:rFonts w:ascii="Arial" w:hAnsi="Arial" w:eastAsia="Arial" w:cs="Arial"/>
      <w:b/>
      <w:bCs/>
      <w:sz w:val="22"/>
      <w:szCs w:val="22"/>
    </w:rPr>
  </w:style>
  <w:style w:type="character" w:styleId="714" w:customStyle="1">
    <w:name w:val="Heading 7 Char"/>
    <w:basedOn w:val="678"/>
    <w:link w:val="675"/>
    <w:uiPriority w:val="9"/>
    <w:qFormat/>
    <w:rPr>
      <w:rFonts w:ascii="Arial" w:hAnsi="Arial" w:eastAsia="Arial" w:cs="Arial"/>
      <w:b/>
      <w:bCs/>
      <w:i/>
      <w:iCs/>
      <w:sz w:val="22"/>
      <w:szCs w:val="22"/>
    </w:rPr>
  </w:style>
  <w:style w:type="character" w:styleId="715" w:customStyle="1">
    <w:name w:val="Heading 8 Char"/>
    <w:basedOn w:val="678"/>
    <w:link w:val="676"/>
    <w:uiPriority w:val="9"/>
    <w:qFormat/>
    <w:rPr>
      <w:rFonts w:ascii="Arial" w:hAnsi="Arial" w:eastAsia="Arial" w:cs="Arial"/>
      <w:i/>
      <w:iCs/>
      <w:sz w:val="22"/>
      <w:szCs w:val="22"/>
    </w:rPr>
  </w:style>
  <w:style w:type="character" w:styleId="716" w:customStyle="1">
    <w:name w:val="Heading 9 Char"/>
    <w:basedOn w:val="678"/>
    <w:link w:val="677"/>
    <w:uiPriority w:val="9"/>
    <w:qFormat/>
    <w:rPr>
      <w:rFonts w:ascii="Arial" w:hAnsi="Arial" w:eastAsia="Arial" w:cs="Arial"/>
      <w:i/>
      <w:iCs/>
      <w:sz w:val="21"/>
      <w:szCs w:val="21"/>
    </w:r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character" w:styleId="718" w:customStyle="1">
    <w:name w:val="Title Char"/>
    <w:basedOn w:val="678"/>
    <w:link w:val="703"/>
    <w:uiPriority w:val="10"/>
    <w:qFormat/>
    <w:rPr>
      <w:sz w:val="48"/>
      <w:szCs w:val="48"/>
    </w:rPr>
  </w:style>
  <w:style w:type="character" w:styleId="719" w:customStyle="1">
    <w:name w:val="Subtitle Char"/>
    <w:basedOn w:val="678"/>
    <w:link w:val="696"/>
    <w:uiPriority w:val="11"/>
    <w:qFormat/>
    <w:rPr>
      <w:sz w:val="24"/>
      <w:szCs w:val="24"/>
    </w:rPr>
  </w:style>
  <w:style w:type="paragraph" w:styleId="720">
    <w:name w:val="Quote"/>
    <w:basedOn w:val="668"/>
    <w:next w:val="668"/>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68"/>
    <w:next w:val="66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basedOn w:val="678"/>
    <w:uiPriority w:val="99"/>
    <w:qFormat/>
  </w:style>
  <w:style w:type="character" w:styleId="725" w:customStyle="1">
    <w:name w:val="Footer Char"/>
    <w:basedOn w:val="678"/>
    <w:uiPriority w:val="99"/>
    <w:qFormat/>
  </w:style>
  <w:style w:type="character" w:styleId="726" w:customStyle="1">
    <w:name w:val="Caption Char"/>
    <w:uiPriority w:val="99"/>
    <w:qFormat/>
  </w:style>
  <w:style w:type="table" w:styleId="727"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7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7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7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7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7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7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7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7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7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7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7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7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7"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7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7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7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7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7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7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7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6" w:customStyle="1">
    <w:name w:val="Grid Table 4 - Accent 2"/>
    <w:basedOn w:val="67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7" w:customStyle="1">
    <w:name w:val="Grid Table 4 - Accent 3"/>
    <w:basedOn w:val="67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8" w:customStyle="1">
    <w:name w:val="Grid Table 4 - Accent 4"/>
    <w:basedOn w:val="67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9" w:customStyle="1">
    <w:name w:val="Grid Table 4 - Accent 5"/>
    <w:basedOn w:val="67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0" w:customStyle="1">
    <w:name w:val="Grid Table 4 - Accent 6"/>
    <w:basedOn w:val="67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1"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3" w:customStyle="1">
    <w:name w:val="Grid Table 5 Dark - Accent 2"/>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4" w:customStyle="1">
    <w:name w:val="Grid Table 5 Dark - Accent 3"/>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5" w:customStyle="1">
    <w:name w:val="Grid Table 5 Dark- Accent 4"/>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6" w:customStyle="1">
    <w:name w:val="Grid Table 5 Dark - Accent 5"/>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7" w:customStyle="1">
    <w:name w:val="Grid Table 5 Dark - Accent 6"/>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8"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basedOn w:val="67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0" w:customStyle="1">
    <w:name w:val="Grid Table 6 Colorful - Accent 2"/>
    <w:basedOn w:val="67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1" w:customStyle="1">
    <w:name w:val="Grid Table 6 Colorful - Accent 3"/>
    <w:basedOn w:val="67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2" w:customStyle="1">
    <w:name w:val="Grid Table 6 Colorful - Accent 4"/>
    <w:basedOn w:val="67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3" w:customStyle="1">
    <w:name w:val="Grid Table 6 Colorful - Accent 5"/>
    <w:basedOn w:val="67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4" w:customStyle="1">
    <w:name w:val="Grid Table 6 Colorful - Accent 6"/>
    <w:basedOn w:val="67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5"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7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7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7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7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7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7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7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7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7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7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7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7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basedOn w:val="67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1" w:customStyle="1">
    <w:name w:val="List Table 2 - Accent 2"/>
    <w:basedOn w:val="67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2" w:customStyle="1">
    <w:name w:val="List Table 2 - Accent 3"/>
    <w:basedOn w:val="67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3" w:customStyle="1">
    <w:name w:val="List Table 2 - Accent 4"/>
    <w:basedOn w:val="67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4" w:customStyle="1">
    <w:name w:val="List Table 2 - Accent 5"/>
    <w:basedOn w:val="67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5" w:customStyle="1">
    <w:name w:val="List Table 2 - Accent 6"/>
    <w:basedOn w:val="67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6"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7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8" w:customStyle="1">
    <w:name w:val="List Table 3 - Accent 2"/>
    <w:basedOn w:val="67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7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7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7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7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3"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7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5" w:customStyle="1">
    <w:name w:val="List Table 4 - Accent 2"/>
    <w:basedOn w:val="67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6" w:customStyle="1">
    <w:name w:val="List Table 4 - Accent 3"/>
    <w:basedOn w:val="67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7" w:customStyle="1">
    <w:name w:val="List Table 4 - Accent 4"/>
    <w:basedOn w:val="67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8" w:customStyle="1">
    <w:name w:val="List Table 4 - Accent 5"/>
    <w:basedOn w:val="67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9" w:customStyle="1">
    <w:name w:val="List Table 4 - Accent 6"/>
    <w:basedOn w:val="67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0"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basedOn w:val="67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basedOn w:val="67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basedOn w:val="67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basedOn w:val="67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basedOn w:val="67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basedOn w:val="67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basedOn w:val="67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9" w:customStyle="1">
    <w:name w:val="List Table 6 Colorful - Accent 2"/>
    <w:basedOn w:val="67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0" w:customStyle="1">
    <w:name w:val="List Table 6 Colorful - Accent 3"/>
    <w:basedOn w:val="67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1" w:customStyle="1">
    <w:name w:val="List Table 6 Colorful - Accent 4"/>
    <w:basedOn w:val="67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2" w:customStyle="1">
    <w:name w:val="List Table 6 Colorful - Accent 5"/>
    <w:basedOn w:val="67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3" w:customStyle="1">
    <w:name w:val="List Table 6 Colorful - Accent 6"/>
    <w:basedOn w:val="67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4"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7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7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7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7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7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7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3"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4"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5"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6"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7"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8"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basedOn w:val="67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0" w:customStyle="1">
    <w:name w:val="Bordered &amp; Lined - Accent 2"/>
    <w:basedOn w:val="67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1" w:customStyle="1">
    <w:name w:val="Bordered &amp; Lined - Accent 3"/>
    <w:basedOn w:val="67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2" w:customStyle="1">
    <w:name w:val="Bordered &amp; Lined - Accent 4"/>
    <w:basedOn w:val="67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3" w:customStyle="1">
    <w:name w:val="Bordered &amp; Lined - Accent 5"/>
    <w:basedOn w:val="67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4" w:customStyle="1">
    <w:name w:val="Bordered &amp; Lined - Accent 6"/>
    <w:basedOn w:val="67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5"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basedOn w:val="67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7" w:customStyle="1">
    <w:name w:val="Bordered - Accent 2"/>
    <w:basedOn w:val="67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8" w:customStyle="1">
    <w:name w:val="Bordered - Accent 3"/>
    <w:basedOn w:val="67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9" w:customStyle="1">
    <w:name w:val="Bordered - Accent 4"/>
    <w:basedOn w:val="67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0" w:customStyle="1">
    <w:name w:val="Bordered - Accent 5"/>
    <w:basedOn w:val="67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1" w:customStyle="1">
    <w:name w:val="Bordered - Accent 6"/>
    <w:basedOn w:val="67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2" w:customStyle="1">
    <w:name w:val="Footnote Text Char"/>
    <w:link w:val="697"/>
    <w:uiPriority w:val="99"/>
    <w:qFormat/>
    <w:rPr>
      <w:sz w:val="18"/>
    </w:rPr>
  </w:style>
  <w:style w:type="character" w:styleId="853" w:customStyle="1">
    <w:name w:val="Endnote Text Char"/>
    <w:link w:val="691"/>
    <w:uiPriority w:val="99"/>
    <w:qFormat/>
    <w:rPr>
      <w:sz w:val="20"/>
    </w:rPr>
  </w:style>
  <w:style w:type="paragraph" w:styleId="854" w:customStyle="1">
    <w:name w:val="TOC Heading"/>
    <w:uiPriority w:val="39"/>
    <w:unhideWhenUsed/>
    <w:qFormat/>
    <w:rPr>
      <w:rFonts w:hint="default" w:ascii="Times New Roman" w:hAnsi="Times New Roman" w:eastAsia="宋体" w:cs="Times New Roman"/>
    </w:rPr>
  </w:style>
  <w:style w:type="paragraph" w:styleId="855" w:customStyle="1">
    <w:name w:val="Default"/>
    <w:basedOn w:val="668"/>
    <w:uiPriority w:val="0"/>
    <w:semiHidden/>
    <w:qFormat/>
    <w:pPr>
      <w:jc w:val="left"/>
    </w:pPr>
    <w:rPr>
      <w:rFonts w:ascii="宋体" w:hAnsi="Calibri" w:cs="宋体"/>
      <w:color w:val="000000"/>
      <w:sz w:val="24"/>
    </w:rPr>
  </w:style>
  <w:style w:type="paragraph" w:styleId="856"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857" w:customStyle="1">
    <w:name w:val="页眉 Char"/>
    <w:basedOn w:val="678"/>
    <w:link w:val="693"/>
    <w:uiPriority w:val="0"/>
    <w:qFormat/>
    <w:rPr>
      <w:rFonts w:asciiTheme="minorHAnsi" w:hAnsiTheme="minorHAnsi" w:eastAsiaTheme="minorEastAsia" w:cstheme="minorBidi"/>
      <w:sz w:val="18"/>
      <w:szCs w:val="18"/>
    </w:rPr>
  </w:style>
  <w:style w:type="character" w:styleId="858" w:customStyle="1">
    <w:name w:val="页脚 Char"/>
    <w:basedOn w:val="678"/>
    <w:link w:val="692"/>
    <w:uiPriority w:val="0"/>
    <w:qFormat/>
    <w:rPr>
      <w:rFonts w:asciiTheme="minorHAnsi" w:hAnsiTheme="minorHAnsi" w:eastAsiaTheme="minorEastAsia" w:cstheme="minorBidi"/>
      <w:sz w:val="18"/>
      <w:szCs w:val="18"/>
    </w:rPr>
  </w:style>
  <w:style w:type="paragraph" w:styleId="8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0" w:customStyle="1">
    <w:name w:val="页脚1"/>
    <w:basedOn w:val="668"/>
    <w:uiPriority w:val="99"/>
    <w:unhideWhenUsed/>
    <w:qFormat/>
    <w:pPr>
      <w:jc w:val="left"/>
      <w:tabs>
        <w:tab w:val="center" w:pos="4153" w:leader="none"/>
        <w:tab w:val="right" w:pos="8306" w:leader="none"/>
      </w:tabs>
    </w:pPr>
    <w:rPr>
      <w:sz w:val="18"/>
      <w:szCs w:val="18"/>
    </w:rPr>
  </w:style>
  <w:style w:type="paragraph" w:styleId="861" w:customStyle="1">
    <w:name w:val="普通正文"/>
    <w:basedOn w:val="668"/>
    <w:uiPriority w:val="0"/>
    <w:qFormat/>
    <w:pPr>
      <w:ind w:firstLine="480"/>
      <w:jc w:val="left"/>
      <w:spacing w:before="120" w:after="120" w:line="360" w:lineRule="auto"/>
    </w:pPr>
    <w:rPr>
      <w:rFonts w:ascii="Arial" w:hAnsi="Arial" w:eastAsia="等线" w:cs="Arial"/>
      <w:sz w:val="24"/>
      <w:szCs w:val="24"/>
    </w:rPr>
  </w:style>
  <w:style w:type="paragraph" w:styleId="862" w:customStyle="1">
    <w:name w:val="正文首行缩进 21"/>
    <w:basedOn w:val="863"/>
    <w:uiPriority w:val="0"/>
    <w:qFormat/>
    <w:pPr>
      <w:ind w:firstLine="420"/>
    </w:pPr>
  </w:style>
  <w:style w:type="paragraph" w:styleId="863" w:customStyle="1">
    <w:name w:val="正文文本缩进1"/>
    <w:basedOn w:val="668"/>
    <w:uiPriority w:val="0"/>
    <w:qFormat/>
    <w:pPr>
      <w:ind w:left="420"/>
      <w:spacing w:after="120"/>
    </w:pPr>
  </w:style>
  <w:style w:type="paragraph" w:styleId="864" w:customStyle="1">
    <w:name w:val="Char"/>
    <w:basedOn w:val="668"/>
    <w:uiPriority w:val="0"/>
    <w:qFormat/>
    <w:pPr>
      <w:ind w:firstLine="200"/>
      <w:tabs>
        <w:tab w:val="left" w:pos="360" w:leader="none"/>
      </w:tabs>
    </w:pPr>
    <w:rPr>
      <w:sz w:val="28"/>
      <w:szCs w:val="30"/>
    </w:rPr>
  </w:style>
  <w:style w:type="table" w:styleId="865" w:customStyle="1">
    <w:name w:val="网格型1"/>
    <w:basedOn w:val="866"/>
    <w:uiPriority w:val="0"/>
    <w:qFormat/>
    <w:pPr>
      <w:jc w:val="both"/>
      <w:widowControl w:val="off"/>
    </w:pPr>
    <w:tblPr/>
  </w:style>
  <w:style w:type="table" w:styleId="866" w:customStyle="1">
    <w:name w:val="普通表格1"/>
    <w:uiPriority w:val="99"/>
    <w:unhideWhenUsed/>
    <w:qFormat/>
    <w:tblPr/>
  </w:style>
  <w:style w:type="paragraph" w:styleId="867">
    <w:name w:val="List Paragraph"/>
    <w:basedOn w:val="668"/>
    <w:uiPriority w:val="34"/>
    <w:qFormat/>
    <w:pPr>
      <w:ind w:firstLine="420"/>
    </w:pPr>
  </w:style>
  <w:style w:type="character" w:styleId="868" w:customStyle="1">
    <w:name w:val="font01"/>
    <w:basedOn w:val="678"/>
    <w:uiPriority w:val="0"/>
    <w:qFormat/>
    <w:rPr>
      <w:rFonts w:hint="eastAsia" w:ascii="宋体" w:hAnsi="宋体" w:eastAsia="宋体" w:cs="宋体"/>
      <w:color w:val="000000"/>
      <w:sz w:val="24"/>
      <w:szCs w:val="24"/>
      <w:u w:val="none"/>
    </w:rPr>
  </w:style>
  <w:style w:type="paragraph" w:styleId="869" w:customStyle="1">
    <w:name w:val="普通(网站)1"/>
    <w:basedOn w:val="668"/>
    <w:uiPriority w:val="0"/>
    <w:qFormat/>
    <w:pPr>
      <w:jc w:val="left"/>
      <w:spacing w:beforeAutospacing="1" w:afterAutospacing="1"/>
    </w:pPr>
    <w:rPr>
      <w:rFonts w:cs="Times New Roman"/>
      <w:sz w:val="24"/>
    </w:rPr>
  </w:style>
  <w:style w:type="paragraph" w:styleId="870" w:customStyle="1">
    <w:name w:val="Table Paragraph"/>
    <w:basedOn w:val="668"/>
    <w:uiPriority w:val="1"/>
    <w:qFormat/>
    <w:rPr>
      <w:lang w:val="zh-CN" w:bidi="zh-CN"/>
    </w:rPr>
  </w:style>
  <w:style w:type="character" w:styleId="871" w:customStyle="1">
    <w:name w:val="font71"/>
    <w:basedOn w:val="678"/>
    <w:uiPriority w:val="0"/>
    <w:qFormat/>
    <w:rPr>
      <w:rFonts w:hint="default" w:ascii="Times New Roman" w:hAnsi="Times New Roman" w:cs="Times New Roman"/>
      <w:color w:val="000000"/>
      <w:sz w:val="20"/>
      <w:szCs w:val="20"/>
      <w:u w:val="none"/>
    </w:rPr>
  </w:style>
  <w:style w:type="character" w:styleId="872" w:customStyle="1">
    <w:name w:val="font51"/>
    <w:basedOn w:val="678"/>
    <w:uiPriority w:val="0"/>
    <w:qFormat/>
    <w:rPr>
      <w:rFonts w:hint="eastAsia" w:ascii="宋体" w:hAnsi="宋体" w:eastAsia="宋体" w:cs="宋体"/>
      <w:color w:val="000000"/>
      <w:sz w:val="20"/>
      <w:szCs w:val="20"/>
      <w:u w:val="none"/>
    </w:rPr>
  </w:style>
  <w:style w:type="character" w:styleId="873" w:customStyle="1">
    <w:name w:val="font41"/>
    <w:basedOn w:val="678"/>
    <w:uiPriority w:val="0"/>
    <w:qFormat/>
    <w:rPr>
      <w:rFonts w:hint="default" w:ascii="Times New Roman" w:hAnsi="Times New Roman" w:cs="Times New Roman"/>
      <w:color w:val="000000"/>
      <w:sz w:val="20"/>
      <w:szCs w:val="20"/>
      <w:u w:val="none"/>
    </w:rPr>
  </w:style>
  <w:style w:type="character" w:styleId="874" w:customStyle="1">
    <w:name w:val="font31"/>
    <w:basedOn w:val="678"/>
    <w:uiPriority w:val="0"/>
    <w:qFormat/>
    <w:rPr>
      <w:rFonts w:hint="eastAsia" w:ascii="宋体" w:hAnsi="宋体" w:eastAsia="宋体" w:cs="宋体"/>
      <w:color w:val="000000"/>
      <w:sz w:val="20"/>
      <w:szCs w:val="20"/>
      <w:u w:val="none"/>
    </w:rPr>
  </w:style>
  <w:style w:type="paragraph" w:styleId="875" w:customStyle="1">
    <w:name w:val="表格"/>
    <w:basedOn w:val="668"/>
    <w:uiPriority w:val="0"/>
    <w:qFormat/>
    <w:pPr>
      <w:ind w:firstLine="0"/>
      <w:jc w:val="center"/>
      <w:spacing w:line="240" w:lineRule="auto"/>
    </w:pPr>
    <w:rPr>
      <w:sz w:val="24"/>
    </w:rPr>
  </w:style>
  <w:style w:type="character" w:styleId="876" w:customStyle="1">
    <w:name w:val="font11"/>
    <w:basedOn w:val="678"/>
    <w:uiPriority w:val="0"/>
    <w:qFormat/>
    <w:rPr>
      <w:rFonts w:hint="eastAsia" w:ascii="宋体" w:hAnsi="宋体" w:eastAsia="宋体" w:cs="宋体"/>
      <w:color w:val="ff0000"/>
      <w:sz w:val="22"/>
      <w:szCs w:val="22"/>
      <w:u w:val="none"/>
    </w:rPr>
  </w:style>
  <w:style w:type="numbering" w:styleId="17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121</cp:revision>
  <dcterms:created xsi:type="dcterms:W3CDTF">2014-10-29T12:08:00Z</dcterms:created>
  <dcterms:modified xsi:type="dcterms:W3CDTF">2025-12-09T01:12:17Z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29159DDDC8FE467AA8695E6FFDB8A858_13</vt:lpwstr>
  </property>
  <property fmtid="{D5CDD505-2E9C-101B-9397-08002B2CF9AE}" pid="4" name="KSOTemplateDocerSaveRecord">
    <vt:lpwstr>eyJoZGlkIjoiZGUzZGNiN2JiMzk0N2Q4YjQzNWNmMWE1YWVlNWMwMjAiLCJ1c2VySWQiOiI0NTEzNDM5MTQifQ==</vt:lpwstr>
  </property>
</Properties>
</file>